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E4E26">
      <w:pPr>
        <w:spacing w:line="840" w:lineRule="exact"/>
        <w:ind w:left="216" w:leftChars="103" w:right="-55" w:rightChars="-26"/>
        <w:jc w:val="center"/>
        <w:rPr>
          <w:rFonts w:hint="eastAsia" w:ascii="宋体" w:hAnsi="宋体" w:cs="宋体"/>
          <w:b/>
          <w:bCs/>
          <w:color w:val="auto"/>
          <w:sz w:val="48"/>
          <w:szCs w:val="48"/>
          <w:highlight w:val="none"/>
        </w:rPr>
      </w:pPr>
    </w:p>
    <w:p w14:paraId="4694FA09">
      <w:pPr>
        <w:spacing w:before="156" w:beforeLines="50" w:after="156" w:afterLines="50" w:line="400" w:lineRule="atLeast"/>
        <w:jc w:val="center"/>
        <w:outlineLvl w:val="0"/>
        <w:rPr>
          <w:rFonts w:hint="eastAsia" w:ascii="宋体" w:hAnsi="宋体" w:cs="宋体"/>
          <w:b/>
          <w:bCs/>
          <w:color w:val="auto"/>
          <w:sz w:val="48"/>
          <w:szCs w:val="48"/>
          <w:highlight w:val="none"/>
          <w:lang w:eastAsia="zh-CN"/>
        </w:rPr>
      </w:pPr>
      <w:r>
        <w:rPr>
          <w:rFonts w:hint="eastAsia" w:ascii="宋体" w:hAnsi="宋体" w:cs="宋体"/>
          <w:b/>
          <w:bCs/>
          <w:color w:val="auto"/>
          <w:sz w:val="48"/>
          <w:szCs w:val="48"/>
          <w:highlight w:val="none"/>
          <w:lang w:eastAsia="zh-CN"/>
        </w:rPr>
        <w:t>滁州学院档案数字化服务项目（三期）及基建档案整理</w:t>
      </w:r>
    </w:p>
    <w:p w14:paraId="70FCB1BB">
      <w:pPr>
        <w:tabs>
          <w:tab w:val="left" w:pos="420"/>
        </w:tabs>
        <w:spacing w:before="468" w:beforeLines="150" w:line="1700" w:lineRule="exact"/>
        <w:jc w:val="center"/>
        <w:outlineLvl w:val="0"/>
        <w:rPr>
          <w:rFonts w:hint="eastAsia" w:ascii="宋体" w:hAnsi="宋体" w:cs="宋体"/>
          <w:b/>
          <w:bCs/>
          <w:color w:val="auto"/>
          <w:sz w:val="48"/>
          <w:szCs w:val="48"/>
          <w:highlight w:val="none"/>
          <w14:shadow w14:blurRad="50800" w14:dist="38100" w14:dir="2700000" w14:sx="100000" w14:sy="100000" w14:kx="0" w14:ky="0" w14:algn="tl">
            <w14:srgbClr w14:val="000000">
              <w14:alpha w14:val="60000"/>
            </w14:srgbClr>
          </w14:shadow>
        </w:rPr>
      </w:pPr>
      <w:r>
        <w:rPr>
          <w:rFonts w:hint="eastAsia" w:ascii="宋体" w:hAnsi="宋体" w:cs="宋体"/>
          <w:b/>
          <w:bCs/>
          <w:color w:val="auto"/>
          <w:sz w:val="48"/>
          <w:szCs w:val="48"/>
          <w:highlight w:val="none"/>
          <w14:shadow w14:blurRad="50800" w14:dist="38100" w14:dir="2700000" w14:sx="100000" w14:sy="100000" w14:kx="0" w14:ky="0" w14:algn="tl">
            <w14:srgbClr w14:val="000000">
              <w14:alpha w14:val="60000"/>
            </w14:srgbClr>
          </w14:shadow>
        </w:rPr>
        <w:t>竞争性磋商采购文件</w:t>
      </w:r>
    </w:p>
    <w:p w14:paraId="1708F74B">
      <w:pPr>
        <w:tabs>
          <w:tab w:val="left" w:pos="315"/>
          <w:tab w:val="left" w:pos="8820"/>
        </w:tabs>
        <w:spacing w:line="500" w:lineRule="exact"/>
        <w:ind w:right="267" w:rightChars="127"/>
        <w:jc w:val="center"/>
        <w:rPr>
          <w:rFonts w:hint="eastAsia" w:ascii="宋体" w:hAnsi="宋体" w:cs="宋体"/>
          <w:color w:val="auto"/>
          <w:sz w:val="44"/>
          <w:highlight w:val="none"/>
        </w:rPr>
      </w:pPr>
    </w:p>
    <w:p w14:paraId="4AD4F25B">
      <w:pPr>
        <w:tabs>
          <w:tab w:val="left" w:pos="315"/>
          <w:tab w:val="left" w:pos="8820"/>
        </w:tabs>
        <w:spacing w:line="1700" w:lineRule="exact"/>
        <w:ind w:right="267" w:rightChars="127"/>
        <w:rPr>
          <w:rFonts w:hint="eastAsia" w:ascii="宋体" w:hAnsi="宋体" w:cs="宋体"/>
          <w:color w:val="auto"/>
          <w:sz w:val="44"/>
          <w:highlight w:val="none"/>
        </w:rPr>
      </w:pPr>
    </w:p>
    <w:p w14:paraId="2ED6FC36">
      <w:pPr>
        <w:pStyle w:val="2"/>
        <w:rPr>
          <w:rFonts w:hint="eastAsia" w:ascii="宋体" w:hAnsi="宋体" w:cs="宋体"/>
          <w:color w:val="auto"/>
          <w:sz w:val="44"/>
          <w:highlight w:val="none"/>
        </w:rPr>
      </w:pPr>
    </w:p>
    <w:p w14:paraId="1C7683F8">
      <w:pPr>
        <w:rPr>
          <w:rFonts w:hint="eastAsia" w:ascii="宋体" w:hAnsi="宋体" w:cs="宋体"/>
          <w:color w:val="auto"/>
          <w:sz w:val="44"/>
          <w:highlight w:val="none"/>
        </w:rPr>
      </w:pPr>
    </w:p>
    <w:p w14:paraId="78B8795B">
      <w:pPr>
        <w:pStyle w:val="2"/>
        <w:rPr>
          <w:rFonts w:hint="eastAsia"/>
          <w:color w:val="auto"/>
          <w:highlight w:val="none"/>
        </w:rPr>
      </w:pPr>
    </w:p>
    <w:p w14:paraId="4FB5951B">
      <w:pPr>
        <w:tabs>
          <w:tab w:val="left" w:pos="315"/>
          <w:tab w:val="left" w:pos="8820"/>
        </w:tabs>
        <w:spacing w:line="500" w:lineRule="exact"/>
        <w:ind w:right="267" w:rightChars="127"/>
        <w:jc w:val="center"/>
        <w:rPr>
          <w:rFonts w:hint="eastAsia" w:ascii="宋体" w:hAnsi="宋体" w:cs="宋体"/>
          <w:color w:val="auto"/>
          <w:sz w:val="44"/>
          <w:highlight w:val="none"/>
        </w:rPr>
      </w:pPr>
    </w:p>
    <w:p w14:paraId="35145810">
      <w:pPr>
        <w:tabs>
          <w:tab w:val="left" w:pos="315"/>
          <w:tab w:val="left" w:pos="8820"/>
        </w:tabs>
        <w:spacing w:line="500" w:lineRule="exact"/>
        <w:ind w:right="267" w:rightChars="127"/>
        <w:jc w:val="center"/>
        <w:rPr>
          <w:rFonts w:hint="eastAsia" w:ascii="宋体" w:hAnsi="宋体" w:cs="宋体"/>
          <w:color w:val="auto"/>
          <w:sz w:val="44"/>
          <w:highlight w:val="none"/>
        </w:rPr>
      </w:pPr>
    </w:p>
    <w:p w14:paraId="2C1F951F">
      <w:pPr>
        <w:tabs>
          <w:tab w:val="left" w:pos="315"/>
          <w:tab w:val="left" w:pos="8820"/>
        </w:tabs>
        <w:spacing w:line="500" w:lineRule="exact"/>
        <w:ind w:right="267" w:rightChars="127"/>
        <w:rPr>
          <w:rFonts w:hint="eastAsia" w:ascii="宋体" w:hAnsi="宋体" w:cs="宋体"/>
          <w:color w:val="auto"/>
          <w:sz w:val="44"/>
          <w:highlight w:val="none"/>
        </w:rPr>
      </w:pPr>
    </w:p>
    <w:p w14:paraId="16A209CD">
      <w:pPr>
        <w:tabs>
          <w:tab w:val="left" w:pos="315"/>
          <w:tab w:val="left" w:pos="8820"/>
        </w:tabs>
        <w:spacing w:line="500" w:lineRule="exact"/>
        <w:ind w:right="267" w:rightChars="127"/>
        <w:rPr>
          <w:rFonts w:hint="eastAsia" w:ascii="宋体" w:hAnsi="宋体" w:cs="宋体"/>
          <w:color w:val="auto"/>
          <w:sz w:val="44"/>
          <w:highlight w:val="none"/>
        </w:rPr>
      </w:pPr>
    </w:p>
    <w:p w14:paraId="5D6934C3">
      <w:pPr>
        <w:tabs>
          <w:tab w:val="left" w:pos="315"/>
          <w:tab w:val="left" w:pos="8820"/>
        </w:tabs>
        <w:spacing w:line="500" w:lineRule="exact"/>
        <w:ind w:right="267" w:rightChars="127"/>
        <w:rPr>
          <w:rFonts w:hint="eastAsia" w:ascii="宋体" w:hAnsi="宋体" w:cs="宋体"/>
          <w:color w:val="auto"/>
          <w:sz w:val="44"/>
          <w:highlight w:val="none"/>
        </w:rPr>
      </w:pPr>
    </w:p>
    <w:p w14:paraId="6D8AAF27">
      <w:pPr>
        <w:tabs>
          <w:tab w:val="left" w:pos="2410"/>
        </w:tabs>
        <w:autoSpaceDE w:val="0"/>
        <w:autoSpaceDN w:val="0"/>
        <w:adjustRightInd w:val="0"/>
        <w:snapToGrid w:val="0"/>
        <w:spacing w:line="360" w:lineRule="auto"/>
        <w:jc w:val="left"/>
        <w:outlineLvl w:val="0"/>
        <w:rPr>
          <w:rFonts w:hint="eastAsia" w:ascii="宋体" w:hAnsi="宋体" w:eastAsia="宋体" w:cs="宋体"/>
          <w:b/>
          <w:color w:val="auto"/>
          <w:spacing w:val="20"/>
          <w:kern w:val="0"/>
          <w:sz w:val="30"/>
          <w:szCs w:val="30"/>
          <w:highlight w:val="none"/>
          <w:lang w:eastAsia="zh-CN"/>
        </w:rPr>
      </w:pPr>
      <w:r>
        <w:rPr>
          <w:rFonts w:hint="eastAsia" w:ascii="宋体" w:hAnsi="宋体" w:cs="宋体"/>
          <w:b/>
          <w:color w:val="auto"/>
          <w:spacing w:val="20"/>
          <w:kern w:val="0"/>
          <w:sz w:val="30"/>
          <w:szCs w:val="30"/>
          <w:highlight w:val="none"/>
        </w:rPr>
        <w:t>项 目 编 号：2024CG-0</w:t>
      </w:r>
      <w:r>
        <w:rPr>
          <w:rFonts w:hint="eastAsia" w:ascii="宋体" w:hAnsi="宋体" w:cs="宋体"/>
          <w:b/>
          <w:color w:val="auto"/>
          <w:spacing w:val="20"/>
          <w:kern w:val="0"/>
          <w:sz w:val="30"/>
          <w:szCs w:val="30"/>
          <w:highlight w:val="none"/>
          <w:lang w:val="en-US" w:eastAsia="zh-CN"/>
        </w:rPr>
        <w:t>38</w:t>
      </w:r>
    </w:p>
    <w:p w14:paraId="6B910053">
      <w:pPr>
        <w:tabs>
          <w:tab w:val="left" w:pos="2410"/>
        </w:tabs>
        <w:autoSpaceDE w:val="0"/>
        <w:autoSpaceDN w:val="0"/>
        <w:adjustRightInd w:val="0"/>
        <w:snapToGrid w:val="0"/>
        <w:spacing w:line="360" w:lineRule="auto"/>
        <w:jc w:val="left"/>
        <w:outlineLvl w:val="0"/>
        <w:rPr>
          <w:rFonts w:hint="eastAsia" w:ascii="宋体" w:hAnsi="宋体" w:cs="宋体"/>
          <w:b/>
          <w:color w:val="auto"/>
          <w:spacing w:val="20"/>
          <w:kern w:val="0"/>
          <w:sz w:val="30"/>
          <w:szCs w:val="30"/>
          <w:highlight w:val="none"/>
        </w:rPr>
      </w:pPr>
      <w:r>
        <w:rPr>
          <w:rFonts w:hint="eastAsia" w:ascii="宋体" w:hAnsi="宋体" w:cs="宋体"/>
          <w:b/>
          <w:color w:val="auto"/>
          <w:spacing w:val="20"/>
          <w:kern w:val="0"/>
          <w:sz w:val="30"/>
          <w:szCs w:val="30"/>
          <w:highlight w:val="none"/>
        </w:rPr>
        <w:t>采   购  人：滁州学院资产与实验室管理处</w:t>
      </w:r>
    </w:p>
    <w:p w14:paraId="6B30E9CD">
      <w:pPr>
        <w:tabs>
          <w:tab w:val="left" w:pos="2410"/>
        </w:tabs>
        <w:autoSpaceDE w:val="0"/>
        <w:autoSpaceDN w:val="0"/>
        <w:adjustRightInd w:val="0"/>
        <w:snapToGrid w:val="0"/>
        <w:spacing w:line="360" w:lineRule="auto"/>
        <w:jc w:val="left"/>
        <w:rPr>
          <w:rFonts w:hint="eastAsia" w:ascii="宋体" w:hAnsi="宋体" w:cs="宋体"/>
          <w:b/>
          <w:color w:val="auto"/>
          <w:spacing w:val="20"/>
          <w:kern w:val="0"/>
          <w:sz w:val="30"/>
          <w:szCs w:val="30"/>
          <w:highlight w:val="none"/>
        </w:rPr>
      </w:pPr>
      <w:r>
        <w:rPr>
          <w:rFonts w:hint="eastAsia" w:ascii="宋体" w:hAnsi="宋体" w:cs="宋体"/>
          <w:b/>
          <w:color w:val="auto"/>
          <w:spacing w:val="20"/>
          <w:kern w:val="0"/>
          <w:sz w:val="30"/>
          <w:szCs w:val="30"/>
          <w:highlight w:val="none"/>
        </w:rPr>
        <w:t>采购代理机构：安徽立地工程咨询有限公司</w:t>
      </w:r>
    </w:p>
    <w:p w14:paraId="69E8721B">
      <w:pPr>
        <w:tabs>
          <w:tab w:val="left" w:pos="2410"/>
        </w:tabs>
        <w:autoSpaceDE w:val="0"/>
        <w:autoSpaceDN w:val="0"/>
        <w:adjustRightInd w:val="0"/>
        <w:snapToGrid w:val="0"/>
        <w:spacing w:line="360" w:lineRule="auto"/>
        <w:jc w:val="left"/>
        <w:outlineLvl w:val="0"/>
        <w:rPr>
          <w:rFonts w:hint="eastAsia" w:ascii="宋体" w:hAnsi="宋体" w:eastAsia="宋体" w:cs="宋体"/>
          <w:b/>
          <w:color w:val="auto"/>
          <w:spacing w:val="20"/>
          <w:kern w:val="0"/>
          <w:sz w:val="32"/>
          <w:szCs w:val="32"/>
          <w:highlight w:val="none"/>
          <w:lang w:eastAsia="zh-CN"/>
        </w:rPr>
      </w:pPr>
      <w:r>
        <w:rPr>
          <w:rFonts w:hint="eastAsia" w:ascii="宋体" w:hAnsi="宋体" w:cs="宋体"/>
          <w:b/>
          <w:color w:val="auto"/>
          <w:spacing w:val="20"/>
          <w:kern w:val="0"/>
          <w:sz w:val="30"/>
          <w:szCs w:val="30"/>
          <w:highlight w:val="none"/>
        </w:rPr>
        <w:t>采 购 时 间：2024.</w:t>
      </w:r>
      <w:r>
        <w:rPr>
          <w:rFonts w:hint="eastAsia" w:ascii="宋体" w:hAnsi="宋体" w:cs="宋体"/>
          <w:b/>
          <w:color w:val="auto"/>
          <w:spacing w:val="20"/>
          <w:kern w:val="0"/>
          <w:sz w:val="30"/>
          <w:szCs w:val="30"/>
          <w:highlight w:val="none"/>
          <w:lang w:val="en-US" w:eastAsia="zh-CN"/>
        </w:rPr>
        <w:t>8</w:t>
      </w:r>
    </w:p>
    <w:p w14:paraId="4BF00DF5">
      <w:pPr>
        <w:pStyle w:val="2"/>
        <w:ind w:firstLine="0" w:firstLineChars="0"/>
        <w:rPr>
          <w:rFonts w:hint="eastAsia" w:cs="宋体"/>
          <w:color w:val="auto"/>
          <w:highlight w:val="none"/>
        </w:rPr>
      </w:pPr>
    </w:p>
    <w:p w14:paraId="67DB357D">
      <w:pPr>
        <w:tabs>
          <w:tab w:val="left" w:pos="2410"/>
        </w:tabs>
        <w:autoSpaceDE w:val="0"/>
        <w:autoSpaceDN w:val="0"/>
        <w:adjustRightInd w:val="0"/>
        <w:snapToGrid w:val="0"/>
        <w:spacing w:line="360" w:lineRule="auto"/>
        <w:jc w:val="left"/>
        <w:rPr>
          <w:rFonts w:hint="eastAsia" w:ascii="宋体" w:hAnsi="宋体" w:cs="宋体"/>
          <w:b/>
          <w:color w:val="auto"/>
          <w:spacing w:val="20"/>
          <w:kern w:val="0"/>
          <w:sz w:val="32"/>
          <w:szCs w:val="32"/>
          <w:highlight w:val="none"/>
        </w:rPr>
      </w:pPr>
    </w:p>
    <w:p w14:paraId="275B1703">
      <w:pPr>
        <w:rPr>
          <w:rFonts w:hint="eastAsia" w:ascii="宋体" w:hAnsi="宋体" w:cs="宋体"/>
          <w:color w:val="auto"/>
          <w:highlight w:val="none"/>
        </w:rPr>
      </w:pPr>
    </w:p>
    <w:p w14:paraId="428CE372">
      <w:pPr>
        <w:tabs>
          <w:tab w:val="left" w:pos="4620"/>
        </w:tabs>
        <w:spacing w:line="500" w:lineRule="exact"/>
        <w:jc w:val="center"/>
        <w:outlineLvl w:val="0"/>
        <w:rPr>
          <w:rFonts w:hint="eastAsia" w:ascii="宋体" w:hAnsi="宋体" w:cs="宋体"/>
          <w:b/>
          <w:color w:val="auto"/>
          <w:sz w:val="36"/>
          <w:szCs w:val="36"/>
          <w:highlight w:val="none"/>
        </w:rPr>
      </w:pPr>
      <w:r>
        <w:rPr>
          <w:rFonts w:hint="eastAsia" w:ascii="宋体" w:hAnsi="宋体" w:cs="宋体"/>
          <w:b/>
          <w:color w:val="auto"/>
          <w:sz w:val="36"/>
          <w:szCs w:val="36"/>
          <w:highlight w:val="none"/>
        </w:rPr>
        <w:t>目  录</w:t>
      </w:r>
    </w:p>
    <w:p w14:paraId="5E1D77D1">
      <w:pPr>
        <w:tabs>
          <w:tab w:val="left" w:pos="4620"/>
        </w:tabs>
        <w:spacing w:line="480" w:lineRule="exact"/>
        <w:jc w:val="center"/>
        <w:rPr>
          <w:rFonts w:hint="eastAsia" w:ascii="宋体" w:hAnsi="宋体" w:cs="宋体"/>
          <w:b/>
          <w:color w:val="auto"/>
          <w:sz w:val="24"/>
          <w:highlight w:val="none"/>
        </w:rPr>
      </w:pPr>
    </w:p>
    <w:p w14:paraId="2005B73D">
      <w:pPr>
        <w:pStyle w:val="24"/>
        <w:keepNext w:val="0"/>
        <w:keepLines w:val="0"/>
        <w:pageBreakBefore w:val="0"/>
        <w:widowControl w:val="0"/>
        <w:tabs>
          <w:tab w:val="right" w:leader="dot" w:pos="8965"/>
        </w:tabs>
        <w:kinsoku/>
        <w:wordWrap/>
        <w:overflowPunct/>
        <w:topLinePunct w:val="0"/>
        <w:autoSpaceDE/>
        <w:autoSpaceDN/>
        <w:bidi w:val="0"/>
        <w:adjustRightInd/>
        <w:snapToGrid/>
        <w:spacing w:beforeLines="0" w:afterLines="0" w:line="44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TOC \o "1-3" \h \z \u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fldChar w:fldCharType="begin"/>
      </w:r>
      <w:r>
        <w:rPr>
          <w:rStyle w:val="41"/>
          <w:rFonts w:hint="eastAsia" w:ascii="宋体" w:hAnsi="宋体" w:cs="宋体"/>
          <w:color w:val="auto"/>
          <w:sz w:val="21"/>
          <w:szCs w:val="21"/>
          <w:highlight w:val="none"/>
        </w:rPr>
        <w:instrText xml:space="preserve"> </w:instrText>
      </w:r>
      <w:r>
        <w:rPr>
          <w:rFonts w:hint="eastAsia" w:ascii="宋体" w:hAnsi="宋体" w:cs="宋体"/>
          <w:color w:val="auto"/>
          <w:sz w:val="21"/>
          <w:szCs w:val="21"/>
          <w:highlight w:val="none"/>
        </w:rPr>
        <w:instrText xml:space="preserve">HYPERLINK \l "_Toc519783880"</w:instrText>
      </w:r>
      <w:r>
        <w:rPr>
          <w:rStyle w:val="41"/>
          <w:rFonts w:hint="eastAsia" w:ascii="宋体" w:hAnsi="宋体" w:cs="宋体"/>
          <w:color w:val="auto"/>
          <w:sz w:val="21"/>
          <w:szCs w:val="21"/>
          <w:highlight w:val="none"/>
        </w:rPr>
        <w:instrText xml:space="preserve"> </w:instrText>
      </w:r>
      <w:r>
        <w:rPr>
          <w:rFonts w:hint="eastAsia" w:ascii="宋体" w:hAnsi="宋体" w:cs="宋体"/>
          <w:color w:val="auto"/>
          <w:sz w:val="21"/>
          <w:szCs w:val="21"/>
          <w:highlight w:val="none"/>
        </w:rPr>
        <w:fldChar w:fldCharType="separate"/>
      </w:r>
      <w:r>
        <w:rPr>
          <w:rStyle w:val="41"/>
          <w:rFonts w:hint="eastAsia" w:ascii="宋体" w:hAnsi="宋体" w:cs="宋体"/>
          <w:b/>
          <w:color w:val="auto"/>
          <w:sz w:val="21"/>
          <w:szCs w:val="21"/>
          <w:highlight w:val="none"/>
        </w:rPr>
        <w:t>一 磋商公告</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_Toc519783880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1</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4A8EA611">
      <w:pPr>
        <w:pStyle w:val="24"/>
        <w:keepNext w:val="0"/>
        <w:keepLines w:val="0"/>
        <w:pageBreakBefore w:val="0"/>
        <w:widowControl w:val="0"/>
        <w:tabs>
          <w:tab w:val="right" w:leader="dot" w:pos="8965"/>
        </w:tabs>
        <w:kinsoku/>
        <w:wordWrap/>
        <w:overflowPunct/>
        <w:topLinePunct w:val="0"/>
        <w:autoSpaceDE/>
        <w:autoSpaceDN/>
        <w:bidi w:val="0"/>
        <w:adjustRightInd/>
        <w:snapToGrid/>
        <w:spacing w:beforeLines="0" w:afterLines="0" w:line="44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41"/>
          <w:rFonts w:hint="eastAsia" w:ascii="宋体" w:hAnsi="宋体" w:cs="宋体"/>
          <w:color w:val="auto"/>
          <w:sz w:val="21"/>
          <w:szCs w:val="21"/>
          <w:highlight w:val="none"/>
        </w:rPr>
        <w:instrText xml:space="preserve"> </w:instrText>
      </w:r>
      <w:r>
        <w:rPr>
          <w:rFonts w:hint="eastAsia" w:ascii="宋体" w:hAnsi="宋体" w:cs="宋体"/>
          <w:color w:val="auto"/>
          <w:sz w:val="21"/>
          <w:szCs w:val="21"/>
          <w:highlight w:val="none"/>
        </w:rPr>
        <w:instrText xml:space="preserve">HYPERLINK \l "_Toc519783881"</w:instrText>
      </w:r>
      <w:r>
        <w:rPr>
          <w:rStyle w:val="41"/>
          <w:rFonts w:hint="eastAsia" w:ascii="宋体" w:hAnsi="宋体" w:cs="宋体"/>
          <w:color w:val="auto"/>
          <w:sz w:val="21"/>
          <w:szCs w:val="21"/>
          <w:highlight w:val="none"/>
        </w:rPr>
        <w:instrText xml:space="preserve"> </w:instrText>
      </w:r>
      <w:r>
        <w:rPr>
          <w:rFonts w:hint="eastAsia" w:ascii="宋体" w:hAnsi="宋体" w:cs="宋体"/>
          <w:color w:val="auto"/>
          <w:sz w:val="21"/>
          <w:szCs w:val="21"/>
          <w:highlight w:val="none"/>
        </w:rPr>
        <w:fldChar w:fldCharType="separate"/>
      </w:r>
      <w:r>
        <w:rPr>
          <w:rStyle w:val="41"/>
          <w:rFonts w:hint="eastAsia" w:ascii="宋体" w:hAnsi="宋体" w:cs="宋体"/>
          <w:b/>
          <w:color w:val="auto"/>
          <w:sz w:val="21"/>
          <w:szCs w:val="21"/>
          <w:highlight w:val="none"/>
        </w:rPr>
        <w:t>二 磋商须知前附表前附表</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_Toc519783881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3</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656B2F84">
      <w:pPr>
        <w:pStyle w:val="24"/>
        <w:keepNext w:val="0"/>
        <w:keepLines w:val="0"/>
        <w:pageBreakBefore w:val="0"/>
        <w:widowControl w:val="0"/>
        <w:tabs>
          <w:tab w:val="right" w:leader="dot" w:pos="8965"/>
        </w:tabs>
        <w:kinsoku/>
        <w:wordWrap/>
        <w:overflowPunct/>
        <w:topLinePunct w:val="0"/>
        <w:autoSpaceDE/>
        <w:autoSpaceDN/>
        <w:bidi w:val="0"/>
        <w:adjustRightInd/>
        <w:snapToGrid/>
        <w:spacing w:beforeLines="0" w:afterLines="0" w:line="44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41"/>
          <w:rFonts w:hint="eastAsia" w:ascii="宋体" w:hAnsi="宋体" w:cs="宋体"/>
          <w:color w:val="auto"/>
          <w:sz w:val="21"/>
          <w:szCs w:val="21"/>
          <w:highlight w:val="none"/>
        </w:rPr>
        <w:instrText xml:space="preserve"> </w:instrText>
      </w:r>
      <w:r>
        <w:rPr>
          <w:rFonts w:hint="eastAsia" w:ascii="宋体" w:hAnsi="宋体" w:cs="宋体"/>
          <w:color w:val="auto"/>
          <w:sz w:val="21"/>
          <w:szCs w:val="21"/>
          <w:highlight w:val="none"/>
        </w:rPr>
        <w:instrText xml:space="preserve">HYPERLINK \l "_Toc519783882"</w:instrText>
      </w:r>
      <w:r>
        <w:rPr>
          <w:rStyle w:val="41"/>
          <w:rFonts w:hint="eastAsia" w:ascii="宋体" w:hAnsi="宋体" w:cs="宋体"/>
          <w:color w:val="auto"/>
          <w:sz w:val="21"/>
          <w:szCs w:val="21"/>
          <w:highlight w:val="none"/>
        </w:rPr>
        <w:instrText xml:space="preserve"> </w:instrText>
      </w:r>
      <w:r>
        <w:rPr>
          <w:rFonts w:hint="eastAsia" w:ascii="宋体" w:hAnsi="宋体" w:cs="宋体"/>
          <w:color w:val="auto"/>
          <w:sz w:val="21"/>
          <w:szCs w:val="21"/>
          <w:highlight w:val="none"/>
        </w:rPr>
        <w:fldChar w:fldCharType="separate"/>
      </w:r>
      <w:r>
        <w:rPr>
          <w:rStyle w:val="41"/>
          <w:rFonts w:hint="eastAsia" w:ascii="宋体" w:hAnsi="宋体" w:cs="宋体"/>
          <w:b/>
          <w:color w:val="auto"/>
          <w:sz w:val="21"/>
          <w:szCs w:val="21"/>
          <w:highlight w:val="none"/>
        </w:rPr>
        <w:t>三 磋商须知</w:t>
      </w:r>
      <w:r>
        <w:rPr>
          <w:rFonts w:hint="eastAsia" w:ascii="宋体" w:hAnsi="宋体" w:cs="宋体"/>
          <w:color w:val="auto"/>
          <w:sz w:val="21"/>
          <w:szCs w:val="21"/>
          <w:highlight w:val="none"/>
        </w:rPr>
        <w:tab/>
      </w:r>
      <w:r>
        <w:rPr>
          <w:rFonts w:hint="eastAsia" w:ascii="宋体" w:hAnsi="宋体" w:cs="宋体"/>
          <w:color w:val="auto"/>
          <w:sz w:val="21"/>
          <w:szCs w:val="21"/>
          <w:highlight w:val="none"/>
        </w:rPr>
        <w:t>6</w:t>
      </w:r>
      <w:r>
        <w:rPr>
          <w:rFonts w:hint="eastAsia" w:ascii="宋体" w:hAnsi="宋体" w:cs="宋体"/>
          <w:color w:val="auto"/>
          <w:sz w:val="21"/>
          <w:szCs w:val="21"/>
          <w:highlight w:val="none"/>
        </w:rPr>
        <w:fldChar w:fldCharType="end"/>
      </w:r>
    </w:p>
    <w:p w14:paraId="093BE064">
      <w:pPr>
        <w:pStyle w:val="28"/>
        <w:keepNext w:val="0"/>
        <w:keepLines w:val="0"/>
        <w:pageBreakBefore w:val="0"/>
        <w:widowControl w:val="0"/>
        <w:tabs>
          <w:tab w:val="right" w:leader="dot" w:pos="8965"/>
        </w:tabs>
        <w:kinsoku/>
        <w:wordWrap/>
        <w:overflowPunct/>
        <w:topLinePunct w:val="0"/>
        <w:autoSpaceDE/>
        <w:autoSpaceDN/>
        <w:bidi w:val="0"/>
        <w:adjustRightInd/>
        <w:snapToGrid/>
        <w:spacing w:beforeLines="0" w:afterLines="0" w:line="440" w:lineRule="exact"/>
        <w:ind w:left="0" w:leftChars="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41"/>
          <w:rFonts w:hint="eastAsia" w:ascii="宋体" w:hAnsi="宋体" w:cs="宋体"/>
          <w:color w:val="auto"/>
          <w:sz w:val="21"/>
          <w:szCs w:val="21"/>
          <w:highlight w:val="none"/>
        </w:rPr>
        <w:instrText xml:space="preserve"> </w:instrText>
      </w:r>
      <w:r>
        <w:rPr>
          <w:rFonts w:hint="eastAsia" w:ascii="宋体" w:hAnsi="宋体" w:cs="宋体"/>
          <w:color w:val="auto"/>
          <w:sz w:val="21"/>
          <w:szCs w:val="21"/>
          <w:highlight w:val="none"/>
        </w:rPr>
        <w:instrText xml:space="preserve">HYPERLINK \l "_Toc519783883"</w:instrText>
      </w:r>
      <w:r>
        <w:rPr>
          <w:rStyle w:val="41"/>
          <w:rFonts w:hint="eastAsia" w:ascii="宋体" w:hAnsi="宋体" w:cs="宋体"/>
          <w:color w:val="auto"/>
          <w:sz w:val="21"/>
          <w:szCs w:val="21"/>
          <w:highlight w:val="none"/>
        </w:rPr>
        <w:instrText xml:space="preserve"> </w:instrText>
      </w:r>
      <w:r>
        <w:rPr>
          <w:rFonts w:hint="eastAsia" w:ascii="宋体" w:hAnsi="宋体" w:cs="宋体"/>
          <w:color w:val="auto"/>
          <w:sz w:val="21"/>
          <w:szCs w:val="21"/>
          <w:highlight w:val="none"/>
        </w:rPr>
        <w:fldChar w:fldCharType="separate"/>
      </w:r>
      <w:r>
        <w:rPr>
          <w:rStyle w:val="41"/>
          <w:rFonts w:hint="eastAsia" w:ascii="宋体" w:hAnsi="宋体" w:cs="宋体"/>
          <w:color w:val="auto"/>
          <w:sz w:val="21"/>
          <w:szCs w:val="21"/>
          <w:highlight w:val="none"/>
        </w:rPr>
        <w:t>（一）总则</w:t>
      </w:r>
      <w:r>
        <w:rPr>
          <w:rFonts w:hint="eastAsia" w:ascii="宋体" w:hAnsi="宋体" w:cs="宋体"/>
          <w:color w:val="auto"/>
          <w:sz w:val="21"/>
          <w:szCs w:val="21"/>
          <w:highlight w:val="none"/>
        </w:rPr>
        <w:tab/>
      </w:r>
      <w:r>
        <w:rPr>
          <w:rFonts w:hint="eastAsia" w:ascii="宋体" w:hAnsi="宋体" w:cs="宋体"/>
          <w:color w:val="auto"/>
          <w:sz w:val="21"/>
          <w:szCs w:val="21"/>
          <w:highlight w:val="none"/>
        </w:rPr>
        <w:t>6</w:t>
      </w:r>
      <w:r>
        <w:rPr>
          <w:rFonts w:hint="eastAsia" w:ascii="宋体" w:hAnsi="宋体" w:cs="宋体"/>
          <w:color w:val="auto"/>
          <w:sz w:val="21"/>
          <w:szCs w:val="21"/>
          <w:highlight w:val="none"/>
        </w:rPr>
        <w:fldChar w:fldCharType="end"/>
      </w:r>
    </w:p>
    <w:p w14:paraId="10F7DD87">
      <w:pPr>
        <w:pStyle w:val="28"/>
        <w:keepNext w:val="0"/>
        <w:keepLines w:val="0"/>
        <w:pageBreakBefore w:val="0"/>
        <w:widowControl w:val="0"/>
        <w:tabs>
          <w:tab w:val="right" w:leader="dot" w:pos="8965"/>
        </w:tabs>
        <w:kinsoku/>
        <w:wordWrap/>
        <w:overflowPunct/>
        <w:topLinePunct w:val="0"/>
        <w:autoSpaceDE/>
        <w:autoSpaceDN/>
        <w:bidi w:val="0"/>
        <w:adjustRightInd/>
        <w:snapToGrid/>
        <w:spacing w:beforeLines="0" w:afterLines="0" w:line="440" w:lineRule="exact"/>
        <w:ind w:left="0" w:leftChars="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41"/>
          <w:rFonts w:hint="eastAsia" w:ascii="宋体" w:hAnsi="宋体" w:cs="宋体"/>
          <w:color w:val="auto"/>
          <w:sz w:val="21"/>
          <w:szCs w:val="21"/>
          <w:highlight w:val="none"/>
        </w:rPr>
        <w:instrText xml:space="preserve"> </w:instrText>
      </w:r>
      <w:r>
        <w:rPr>
          <w:rFonts w:hint="eastAsia" w:ascii="宋体" w:hAnsi="宋体" w:cs="宋体"/>
          <w:color w:val="auto"/>
          <w:sz w:val="21"/>
          <w:szCs w:val="21"/>
          <w:highlight w:val="none"/>
        </w:rPr>
        <w:instrText xml:space="preserve">HYPERLINK \l "_Toc519783884"</w:instrText>
      </w:r>
      <w:r>
        <w:rPr>
          <w:rStyle w:val="41"/>
          <w:rFonts w:hint="eastAsia" w:ascii="宋体" w:hAnsi="宋体" w:cs="宋体"/>
          <w:color w:val="auto"/>
          <w:sz w:val="21"/>
          <w:szCs w:val="21"/>
          <w:highlight w:val="none"/>
        </w:rPr>
        <w:instrText xml:space="preserve"> </w:instrText>
      </w:r>
      <w:r>
        <w:rPr>
          <w:rFonts w:hint="eastAsia" w:ascii="宋体" w:hAnsi="宋体" w:cs="宋体"/>
          <w:color w:val="auto"/>
          <w:sz w:val="21"/>
          <w:szCs w:val="21"/>
          <w:highlight w:val="none"/>
        </w:rPr>
        <w:fldChar w:fldCharType="separate"/>
      </w:r>
      <w:r>
        <w:rPr>
          <w:rStyle w:val="41"/>
          <w:rFonts w:hint="eastAsia" w:ascii="宋体" w:hAnsi="宋体" w:cs="宋体"/>
          <w:color w:val="auto"/>
          <w:sz w:val="21"/>
          <w:szCs w:val="21"/>
          <w:highlight w:val="none"/>
        </w:rPr>
        <w:t>（二）磋商文件说明</w:t>
      </w:r>
      <w:r>
        <w:rPr>
          <w:rFonts w:hint="eastAsia" w:ascii="宋体" w:hAnsi="宋体" w:cs="宋体"/>
          <w:color w:val="auto"/>
          <w:sz w:val="21"/>
          <w:szCs w:val="21"/>
          <w:highlight w:val="none"/>
        </w:rPr>
        <w:tab/>
      </w:r>
      <w:r>
        <w:rPr>
          <w:rFonts w:hint="eastAsia" w:ascii="宋体" w:hAnsi="宋体" w:cs="宋体"/>
          <w:color w:val="auto"/>
          <w:sz w:val="21"/>
          <w:szCs w:val="21"/>
          <w:highlight w:val="none"/>
        </w:rPr>
        <w:t>8</w:t>
      </w:r>
      <w:r>
        <w:rPr>
          <w:rFonts w:hint="eastAsia" w:ascii="宋体" w:hAnsi="宋体" w:cs="宋体"/>
          <w:color w:val="auto"/>
          <w:sz w:val="21"/>
          <w:szCs w:val="21"/>
          <w:highlight w:val="none"/>
        </w:rPr>
        <w:fldChar w:fldCharType="end"/>
      </w:r>
    </w:p>
    <w:p w14:paraId="733C0677">
      <w:pPr>
        <w:pStyle w:val="28"/>
        <w:keepNext w:val="0"/>
        <w:keepLines w:val="0"/>
        <w:pageBreakBefore w:val="0"/>
        <w:widowControl w:val="0"/>
        <w:tabs>
          <w:tab w:val="right" w:leader="dot" w:pos="8965"/>
        </w:tabs>
        <w:kinsoku/>
        <w:wordWrap/>
        <w:overflowPunct/>
        <w:topLinePunct w:val="0"/>
        <w:autoSpaceDE/>
        <w:autoSpaceDN/>
        <w:bidi w:val="0"/>
        <w:adjustRightInd/>
        <w:snapToGrid/>
        <w:spacing w:beforeLines="0" w:afterLines="0" w:line="440" w:lineRule="exact"/>
        <w:ind w:left="0" w:leftChars="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41"/>
          <w:rFonts w:hint="eastAsia" w:ascii="宋体" w:hAnsi="宋体" w:cs="宋体"/>
          <w:color w:val="auto"/>
          <w:sz w:val="21"/>
          <w:szCs w:val="21"/>
          <w:highlight w:val="none"/>
        </w:rPr>
        <w:instrText xml:space="preserve"> </w:instrText>
      </w:r>
      <w:r>
        <w:rPr>
          <w:rFonts w:hint="eastAsia" w:ascii="宋体" w:hAnsi="宋体" w:cs="宋体"/>
          <w:color w:val="auto"/>
          <w:sz w:val="21"/>
          <w:szCs w:val="21"/>
          <w:highlight w:val="none"/>
        </w:rPr>
        <w:instrText xml:space="preserve">HYPERLINK \l "_Toc519783885"</w:instrText>
      </w:r>
      <w:r>
        <w:rPr>
          <w:rStyle w:val="41"/>
          <w:rFonts w:hint="eastAsia" w:ascii="宋体" w:hAnsi="宋体" w:cs="宋体"/>
          <w:color w:val="auto"/>
          <w:sz w:val="21"/>
          <w:szCs w:val="21"/>
          <w:highlight w:val="none"/>
        </w:rPr>
        <w:instrText xml:space="preserve"> </w:instrText>
      </w:r>
      <w:r>
        <w:rPr>
          <w:rFonts w:hint="eastAsia" w:ascii="宋体" w:hAnsi="宋体" w:cs="宋体"/>
          <w:color w:val="auto"/>
          <w:sz w:val="21"/>
          <w:szCs w:val="21"/>
          <w:highlight w:val="none"/>
        </w:rPr>
        <w:fldChar w:fldCharType="separate"/>
      </w:r>
      <w:r>
        <w:rPr>
          <w:rStyle w:val="41"/>
          <w:rFonts w:hint="eastAsia" w:ascii="宋体" w:hAnsi="宋体" w:cs="宋体"/>
          <w:color w:val="auto"/>
          <w:sz w:val="21"/>
          <w:szCs w:val="21"/>
          <w:highlight w:val="none"/>
        </w:rPr>
        <w:t>（三）响应文件</w:t>
      </w:r>
      <w:r>
        <w:rPr>
          <w:rFonts w:hint="eastAsia" w:ascii="宋体" w:hAnsi="宋体" w:cs="宋体"/>
          <w:color w:val="auto"/>
          <w:sz w:val="21"/>
          <w:szCs w:val="21"/>
          <w:highlight w:val="none"/>
        </w:rPr>
        <w:tab/>
      </w:r>
      <w:r>
        <w:rPr>
          <w:rFonts w:hint="eastAsia" w:ascii="宋体" w:hAnsi="宋体" w:cs="宋体"/>
          <w:color w:val="auto"/>
          <w:sz w:val="21"/>
          <w:szCs w:val="21"/>
          <w:highlight w:val="none"/>
        </w:rPr>
        <w:t>9</w:t>
      </w:r>
      <w:r>
        <w:rPr>
          <w:rFonts w:hint="eastAsia" w:ascii="宋体" w:hAnsi="宋体" w:cs="宋体"/>
          <w:color w:val="auto"/>
          <w:sz w:val="21"/>
          <w:szCs w:val="21"/>
          <w:highlight w:val="none"/>
        </w:rPr>
        <w:fldChar w:fldCharType="end"/>
      </w:r>
    </w:p>
    <w:p w14:paraId="48D01946">
      <w:pPr>
        <w:pStyle w:val="28"/>
        <w:keepNext w:val="0"/>
        <w:keepLines w:val="0"/>
        <w:pageBreakBefore w:val="0"/>
        <w:widowControl w:val="0"/>
        <w:tabs>
          <w:tab w:val="right" w:leader="dot" w:pos="8965"/>
        </w:tabs>
        <w:kinsoku/>
        <w:wordWrap/>
        <w:overflowPunct/>
        <w:topLinePunct w:val="0"/>
        <w:autoSpaceDE/>
        <w:autoSpaceDN/>
        <w:bidi w:val="0"/>
        <w:adjustRightInd/>
        <w:snapToGrid/>
        <w:spacing w:beforeLines="0" w:afterLines="0" w:line="440" w:lineRule="exact"/>
        <w:ind w:left="0" w:leftChars="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41"/>
          <w:rFonts w:hint="eastAsia" w:ascii="宋体" w:hAnsi="宋体" w:cs="宋体"/>
          <w:color w:val="auto"/>
          <w:sz w:val="21"/>
          <w:szCs w:val="21"/>
          <w:highlight w:val="none"/>
        </w:rPr>
        <w:instrText xml:space="preserve"> </w:instrText>
      </w:r>
      <w:r>
        <w:rPr>
          <w:rFonts w:hint="eastAsia" w:ascii="宋体" w:hAnsi="宋体" w:cs="宋体"/>
          <w:color w:val="auto"/>
          <w:sz w:val="21"/>
          <w:szCs w:val="21"/>
          <w:highlight w:val="none"/>
        </w:rPr>
        <w:instrText xml:space="preserve">HYPERLINK \l "_Toc519783886"</w:instrText>
      </w:r>
      <w:r>
        <w:rPr>
          <w:rStyle w:val="41"/>
          <w:rFonts w:hint="eastAsia" w:ascii="宋体" w:hAnsi="宋体" w:cs="宋体"/>
          <w:color w:val="auto"/>
          <w:sz w:val="21"/>
          <w:szCs w:val="21"/>
          <w:highlight w:val="none"/>
        </w:rPr>
        <w:instrText xml:space="preserve"> </w:instrText>
      </w:r>
      <w:r>
        <w:rPr>
          <w:rFonts w:hint="eastAsia" w:ascii="宋体" w:hAnsi="宋体" w:cs="宋体"/>
          <w:color w:val="auto"/>
          <w:sz w:val="21"/>
          <w:szCs w:val="21"/>
          <w:highlight w:val="none"/>
        </w:rPr>
        <w:fldChar w:fldCharType="separate"/>
      </w:r>
      <w:r>
        <w:rPr>
          <w:rStyle w:val="41"/>
          <w:rFonts w:hint="eastAsia" w:ascii="宋体" w:hAnsi="宋体" w:cs="宋体"/>
          <w:color w:val="auto"/>
          <w:sz w:val="21"/>
          <w:szCs w:val="21"/>
          <w:highlight w:val="none"/>
        </w:rPr>
        <w:t>（四）响应文件的提交</w:t>
      </w:r>
      <w:r>
        <w:rPr>
          <w:rFonts w:hint="eastAsia" w:ascii="宋体" w:hAnsi="宋体" w:cs="宋体"/>
          <w:color w:val="auto"/>
          <w:sz w:val="21"/>
          <w:szCs w:val="21"/>
          <w:highlight w:val="none"/>
        </w:rPr>
        <w:tab/>
      </w:r>
      <w:r>
        <w:rPr>
          <w:rFonts w:hint="eastAsia" w:ascii="宋体" w:hAnsi="宋体" w:cs="宋体"/>
          <w:color w:val="auto"/>
          <w:sz w:val="21"/>
          <w:szCs w:val="21"/>
          <w:highlight w:val="none"/>
        </w:rPr>
        <w:t>1</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t>2</w:t>
      </w:r>
    </w:p>
    <w:p w14:paraId="2A8968A1">
      <w:pPr>
        <w:pStyle w:val="28"/>
        <w:keepNext w:val="0"/>
        <w:keepLines w:val="0"/>
        <w:pageBreakBefore w:val="0"/>
        <w:widowControl w:val="0"/>
        <w:tabs>
          <w:tab w:val="right" w:leader="dot" w:pos="8965"/>
        </w:tabs>
        <w:kinsoku/>
        <w:wordWrap/>
        <w:overflowPunct/>
        <w:topLinePunct w:val="0"/>
        <w:autoSpaceDE/>
        <w:autoSpaceDN/>
        <w:bidi w:val="0"/>
        <w:adjustRightInd/>
        <w:snapToGrid/>
        <w:spacing w:beforeLines="0" w:afterLines="0" w:line="440" w:lineRule="exact"/>
        <w:ind w:left="0" w:leftChars="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41"/>
          <w:rFonts w:hint="eastAsia" w:ascii="宋体" w:hAnsi="宋体" w:cs="宋体"/>
          <w:color w:val="auto"/>
          <w:sz w:val="21"/>
          <w:szCs w:val="21"/>
          <w:highlight w:val="none"/>
        </w:rPr>
        <w:instrText xml:space="preserve"> </w:instrText>
      </w:r>
      <w:r>
        <w:rPr>
          <w:rFonts w:hint="eastAsia" w:ascii="宋体" w:hAnsi="宋体" w:cs="宋体"/>
          <w:color w:val="auto"/>
          <w:sz w:val="21"/>
          <w:szCs w:val="21"/>
          <w:highlight w:val="none"/>
        </w:rPr>
        <w:instrText xml:space="preserve">HYPERLINK \l "_Toc519783887"</w:instrText>
      </w:r>
      <w:r>
        <w:rPr>
          <w:rStyle w:val="41"/>
          <w:rFonts w:hint="eastAsia" w:ascii="宋体" w:hAnsi="宋体" w:cs="宋体"/>
          <w:color w:val="auto"/>
          <w:sz w:val="21"/>
          <w:szCs w:val="21"/>
          <w:highlight w:val="none"/>
        </w:rPr>
        <w:instrText xml:space="preserve"> </w:instrText>
      </w:r>
      <w:r>
        <w:rPr>
          <w:rFonts w:hint="eastAsia" w:ascii="宋体" w:hAnsi="宋体" w:cs="宋体"/>
          <w:color w:val="auto"/>
          <w:sz w:val="21"/>
          <w:szCs w:val="21"/>
          <w:highlight w:val="none"/>
        </w:rPr>
        <w:fldChar w:fldCharType="separate"/>
      </w:r>
      <w:r>
        <w:rPr>
          <w:rStyle w:val="41"/>
          <w:rFonts w:hint="eastAsia" w:ascii="宋体" w:hAnsi="宋体" w:cs="宋体"/>
          <w:color w:val="auto"/>
          <w:sz w:val="21"/>
          <w:szCs w:val="21"/>
          <w:highlight w:val="none"/>
        </w:rPr>
        <w:t>（五）磋商与评审</w:t>
      </w:r>
      <w:r>
        <w:rPr>
          <w:rFonts w:hint="eastAsia" w:ascii="宋体" w:hAnsi="宋体" w:cs="宋体"/>
          <w:color w:val="auto"/>
          <w:sz w:val="21"/>
          <w:szCs w:val="21"/>
          <w:highlight w:val="none"/>
        </w:rPr>
        <w:tab/>
      </w:r>
      <w:r>
        <w:rPr>
          <w:rFonts w:hint="eastAsia" w:ascii="宋体" w:hAnsi="宋体" w:cs="宋体"/>
          <w:color w:val="auto"/>
          <w:sz w:val="21"/>
          <w:szCs w:val="21"/>
          <w:highlight w:val="none"/>
        </w:rPr>
        <w:t>1</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t>3</w:t>
      </w:r>
    </w:p>
    <w:p w14:paraId="23A622DF">
      <w:pPr>
        <w:pStyle w:val="28"/>
        <w:keepNext w:val="0"/>
        <w:keepLines w:val="0"/>
        <w:pageBreakBefore w:val="0"/>
        <w:widowControl w:val="0"/>
        <w:tabs>
          <w:tab w:val="right" w:leader="dot" w:pos="8965"/>
        </w:tabs>
        <w:kinsoku/>
        <w:wordWrap/>
        <w:overflowPunct/>
        <w:topLinePunct w:val="0"/>
        <w:autoSpaceDE/>
        <w:autoSpaceDN/>
        <w:bidi w:val="0"/>
        <w:adjustRightInd/>
        <w:snapToGrid/>
        <w:spacing w:beforeLines="0" w:afterLines="0" w:line="440" w:lineRule="exact"/>
        <w:ind w:left="0" w:leftChars="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41"/>
          <w:rFonts w:hint="eastAsia" w:ascii="宋体" w:hAnsi="宋体" w:cs="宋体"/>
          <w:color w:val="auto"/>
          <w:sz w:val="21"/>
          <w:szCs w:val="21"/>
          <w:highlight w:val="none"/>
        </w:rPr>
        <w:instrText xml:space="preserve"> </w:instrText>
      </w:r>
      <w:r>
        <w:rPr>
          <w:rFonts w:hint="eastAsia" w:ascii="宋体" w:hAnsi="宋体" w:cs="宋体"/>
          <w:color w:val="auto"/>
          <w:sz w:val="21"/>
          <w:szCs w:val="21"/>
          <w:highlight w:val="none"/>
        </w:rPr>
        <w:instrText xml:space="preserve">HYPERLINK \l "_Toc519783889"</w:instrText>
      </w:r>
      <w:r>
        <w:rPr>
          <w:rStyle w:val="41"/>
          <w:rFonts w:hint="eastAsia" w:ascii="宋体" w:hAnsi="宋体" w:cs="宋体"/>
          <w:color w:val="auto"/>
          <w:sz w:val="21"/>
          <w:szCs w:val="21"/>
          <w:highlight w:val="none"/>
        </w:rPr>
        <w:instrText xml:space="preserve"> </w:instrText>
      </w:r>
      <w:r>
        <w:rPr>
          <w:rFonts w:hint="eastAsia" w:ascii="宋体" w:hAnsi="宋体" w:cs="宋体"/>
          <w:color w:val="auto"/>
          <w:sz w:val="21"/>
          <w:szCs w:val="21"/>
          <w:highlight w:val="none"/>
        </w:rPr>
        <w:fldChar w:fldCharType="separate"/>
      </w:r>
      <w:r>
        <w:rPr>
          <w:rStyle w:val="41"/>
          <w:rFonts w:hint="eastAsia" w:ascii="宋体" w:hAnsi="宋体" w:cs="宋体"/>
          <w:color w:val="auto"/>
          <w:sz w:val="21"/>
          <w:szCs w:val="21"/>
          <w:highlight w:val="none"/>
        </w:rPr>
        <w:t>（六）确定成交供应商与签订合同</w:t>
      </w:r>
      <w:r>
        <w:rPr>
          <w:rFonts w:hint="eastAsia" w:ascii="宋体" w:hAnsi="宋体" w:cs="宋体"/>
          <w:color w:val="auto"/>
          <w:sz w:val="21"/>
          <w:szCs w:val="21"/>
          <w:highlight w:val="none"/>
        </w:rPr>
        <w:tab/>
      </w:r>
      <w:r>
        <w:rPr>
          <w:rFonts w:hint="eastAsia" w:ascii="宋体" w:hAnsi="宋体" w:cs="宋体"/>
          <w:color w:val="auto"/>
          <w:sz w:val="21"/>
          <w:szCs w:val="21"/>
          <w:highlight w:val="none"/>
        </w:rPr>
        <w:t>1</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t>7</w:t>
      </w:r>
    </w:p>
    <w:p w14:paraId="559276E5">
      <w:pPr>
        <w:pStyle w:val="24"/>
        <w:keepNext w:val="0"/>
        <w:keepLines w:val="0"/>
        <w:pageBreakBefore w:val="0"/>
        <w:widowControl w:val="0"/>
        <w:tabs>
          <w:tab w:val="right" w:leader="dot" w:pos="8965"/>
        </w:tabs>
        <w:kinsoku/>
        <w:wordWrap/>
        <w:overflowPunct/>
        <w:topLinePunct w:val="0"/>
        <w:autoSpaceDE/>
        <w:autoSpaceDN/>
        <w:bidi w:val="0"/>
        <w:adjustRightInd/>
        <w:snapToGrid/>
        <w:spacing w:beforeLines="0" w:afterLines="0" w:line="44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41"/>
          <w:rFonts w:hint="eastAsia" w:ascii="宋体" w:hAnsi="宋体" w:cs="宋体"/>
          <w:color w:val="auto"/>
          <w:sz w:val="21"/>
          <w:szCs w:val="21"/>
          <w:highlight w:val="none"/>
        </w:rPr>
        <w:instrText xml:space="preserve"> </w:instrText>
      </w:r>
      <w:r>
        <w:rPr>
          <w:rFonts w:hint="eastAsia" w:ascii="宋体" w:hAnsi="宋体" w:cs="宋体"/>
          <w:color w:val="auto"/>
          <w:sz w:val="21"/>
          <w:szCs w:val="21"/>
          <w:highlight w:val="none"/>
        </w:rPr>
        <w:instrText xml:space="preserve">HYPERLINK \l "_Toc519783890"</w:instrText>
      </w:r>
      <w:r>
        <w:rPr>
          <w:rStyle w:val="41"/>
          <w:rFonts w:hint="eastAsia" w:ascii="宋体" w:hAnsi="宋体" w:cs="宋体"/>
          <w:color w:val="auto"/>
          <w:sz w:val="21"/>
          <w:szCs w:val="21"/>
          <w:highlight w:val="none"/>
        </w:rPr>
        <w:instrText xml:space="preserve"> </w:instrText>
      </w:r>
      <w:r>
        <w:rPr>
          <w:rFonts w:hint="eastAsia" w:ascii="宋体" w:hAnsi="宋体" w:cs="宋体"/>
          <w:color w:val="auto"/>
          <w:sz w:val="21"/>
          <w:szCs w:val="21"/>
          <w:highlight w:val="none"/>
        </w:rPr>
        <w:fldChar w:fldCharType="separate"/>
      </w:r>
      <w:r>
        <w:rPr>
          <w:rStyle w:val="41"/>
          <w:rFonts w:hint="eastAsia" w:ascii="宋体" w:hAnsi="宋体" w:cs="宋体"/>
          <w:b/>
          <w:color w:val="auto"/>
          <w:sz w:val="21"/>
          <w:szCs w:val="21"/>
          <w:highlight w:val="none"/>
        </w:rPr>
        <w:t>四 采购需求</w:t>
      </w:r>
      <w:r>
        <w:rPr>
          <w:rFonts w:hint="eastAsia" w:ascii="宋体" w:hAnsi="宋体" w:cs="宋体"/>
          <w:color w:val="auto"/>
          <w:sz w:val="21"/>
          <w:szCs w:val="21"/>
          <w:highlight w:val="none"/>
        </w:rPr>
        <w:tab/>
      </w:r>
      <w:r>
        <w:rPr>
          <w:rFonts w:hint="eastAsia" w:ascii="宋体" w:hAnsi="宋体" w:cs="宋体"/>
          <w:color w:val="auto"/>
          <w:sz w:val="21"/>
          <w:szCs w:val="21"/>
          <w:highlight w:val="none"/>
        </w:rPr>
        <w:t>2</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t>4</w:t>
      </w:r>
    </w:p>
    <w:p w14:paraId="6CE44CE1">
      <w:pPr>
        <w:pStyle w:val="24"/>
        <w:keepNext w:val="0"/>
        <w:keepLines w:val="0"/>
        <w:pageBreakBefore w:val="0"/>
        <w:widowControl w:val="0"/>
        <w:tabs>
          <w:tab w:val="right" w:leader="dot" w:pos="8965"/>
        </w:tabs>
        <w:kinsoku/>
        <w:wordWrap/>
        <w:overflowPunct/>
        <w:topLinePunct w:val="0"/>
        <w:autoSpaceDE/>
        <w:autoSpaceDN/>
        <w:bidi w:val="0"/>
        <w:adjustRightInd/>
        <w:snapToGrid/>
        <w:spacing w:beforeLines="0" w:afterLines="0" w:line="44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41"/>
          <w:rFonts w:hint="eastAsia" w:ascii="宋体" w:hAnsi="宋体" w:cs="宋体"/>
          <w:color w:val="auto"/>
          <w:sz w:val="21"/>
          <w:szCs w:val="21"/>
          <w:highlight w:val="none"/>
        </w:rPr>
        <w:instrText xml:space="preserve"> </w:instrText>
      </w:r>
      <w:r>
        <w:rPr>
          <w:rFonts w:hint="eastAsia" w:ascii="宋体" w:hAnsi="宋体" w:cs="宋体"/>
          <w:color w:val="auto"/>
          <w:sz w:val="21"/>
          <w:szCs w:val="21"/>
          <w:highlight w:val="none"/>
        </w:rPr>
        <w:instrText xml:space="preserve">HYPERLINK \l "_Toc519783891"</w:instrText>
      </w:r>
      <w:r>
        <w:rPr>
          <w:rStyle w:val="41"/>
          <w:rFonts w:hint="eastAsia" w:ascii="宋体" w:hAnsi="宋体" w:cs="宋体"/>
          <w:color w:val="auto"/>
          <w:sz w:val="21"/>
          <w:szCs w:val="21"/>
          <w:highlight w:val="none"/>
        </w:rPr>
        <w:instrText xml:space="preserve"> </w:instrText>
      </w:r>
      <w:r>
        <w:rPr>
          <w:rFonts w:hint="eastAsia" w:ascii="宋体" w:hAnsi="宋体" w:cs="宋体"/>
          <w:color w:val="auto"/>
          <w:sz w:val="21"/>
          <w:szCs w:val="21"/>
          <w:highlight w:val="none"/>
        </w:rPr>
        <w:fldChar w:fldCharType="separate"/>
      </w:r>
      <w:r>
        <w:rPr>
          <w:rStyle w:val="41"/>
          <w:rFonts w:hint="eastAsia" w:ascii="宋体" w:hAnsi="宋体" w:cs="宋体"/>
          <w:b/>
          <w:color w:val="auto"/>
          <w:sz w:val="21"/>
          <w:szCs w:val="21"/>
          <w:highlight w:val="none"/>
        </w:rPr>
        <w:t>五 采购合同</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t>27</w:t>
      </w:r>
    </w:p>
    <w:p w14:paraId="3A528232">
      <w:pPr>
        <w:pStyle w:val="24"/>
        <w:keepNext w:val="0"/>
        <w:keepLines w:val="0"/>
        <w:pageBreakBefore w:val="0"/>
        <w:widowControl w:val="0"/>
        <w:tabs>
          <w:tab w:val="right" w:leader="dot" w:pos="8965"/>
        </w:tabs>
        <w:kinsoku/>
        <w:wordWrap/>
        <w:overflowPunct/>
        <w:topLinePunct w:val="0"/>
        <w:autoSpaceDE/>
        <w:autoSpaceDN/>
        <w:bidi w:val="0"/>
        <w:adjustRightInd/>
        <w:snapToGrid/>
        <w:spacing w:beforeLines="0" w:afterLines="0" w:line="44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41"/>
          <w:rFonts w:hint="eastAsia" w:ascii="宋体" w:hAnsi="宋体" w:cs="宋体"/>
          <w:color w:val="auto"/>
          <w:sz w:val="21"/>
          <w:szCs w:val="21"/>
          <w:highlight w:val="none"/>
        </w:rPr>
        <w:instrText xml:space="preserve"> </w:instrText>
      </w:r>
      <w:r>
        <w:rPr>
          <w:rFonts w:hint="eastAsia" w:ascii="宋体" w:hAnsi="宋体" w:cs="宋体"/>
          <w:color w:val="auto"/>
          <w:sz w:val="21"/>
          <w:szCs w:val="21"/>
          <w:highlight w:val="none"/>
        </w:rPr>
        <w:instrText xml:space="preserve">HYPERLINK \l "_Toc519783892"</w:instrText>
      </w:r>
      <w:r>
        <w:rPr>
          <w:rStyle w:val="41"/>
          <w:rFonts w:hint="eastAsia" w:ascii="宋体" w:hAnsi="宋体" w:cs="宋体"/>
          <w:color w:val="auto"/>
          <w:sz w:val="21"/>
          <w:szCs w:val="21"/>
          <w:highlight w:val="none"/>
        </w:rPr>
        <w:instrText xml:space="preserve"> </w:instrText>
      </w:r>
      <w:r>
        <w:rPr>
          <w:rFonts w:hint="eastAsia" w:ascii="宋体" w:hAnsi="宋体" w:cs="宋体"/>
          <w:color w:val="auto"/>
          <w:sz w:val="21"/>
          <w:szCs w:val="21"/>
          <w:highlight w:val="none"/>
        </w:rPr>
        <w:fldChar w:fldCharType="separate"/>
      </w:r>
      <w:r>
        <w:rPr>
          <w:rStyle w:val="41"/>
          <w:rFonts w:hint="eastAsia" w:ascii="宋体" w:hAnsi="宋体" w:cs="宋体"/>
          <w:b/>
          <w:color w:val="auto"/>
          <w:sz w:val="21"/>
          <w:szCs w:val="21"/>
          <w:highlight w:val="none"/>
        </w:rPr>
        <w:t>六 响应文件格式</w:t>
      </w:r>
      <w:r>
        <w:rPr>
          <w:rFonts w:hint="eastAsia" w:ascii="宋体" w:hAnsi="宋体" w:cs="宋体"/>
          <w:color w:val="auto"/>
          <w:sz w:val="21"/>
          <w:szCs w:val="21"/>
          <w:highlight w:val="none"/>
        </w:rPr>
        <w:tab/>
      </w:r>
      <w:r>
        <w:rPr>
          <w:rFonts w:hint="eastAsia" w:ascii="宋体" w:hAnsi="宋体" w:cs="宋体"/>
          <w:color w:val="auto"/>
          <w:sz w:val="21"/>
          <w:szCs w:val="21"/>
          <w:highlight w:val="none"/>
        </w:rPr>
        <w:t>3</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t>2</w:t>
      </w:r>
    </w:p>
    <w:p w14:paraId="045DA904">
      <w:pPr>
        <w:pStyle w:val="28"/>
        <w:keepNext w:val="0"/>
        <w:keepLines w:val="0"/>
        <w:pageBreakBefore w:val="0"/>
        <w:widowControl w:val="0"/>
        <w:tabs>
          <w:tab w:val="right" w:leader="dot" w:pos="8965"/>
        </w:tabs>
        <w:kinsoku/>
        <w:wordWrap/>
        <w:overflowPunct/>
        <w:topLinePunct w:val="0"/>
        <w:autoSpaceDE/>
        <w:autoSpaceDN/>
        <w:bidi w:val="0"/>
        <w:adjustRightInd/>
        <w:snapToGrid/>
        <w:spacing w:beforeLines="0" w:afterLines="0" w:line="440" w:lineRule="exact"/>
        <w:ind w:left="0" w:leftChars="0"/>
        <w:textAlignment w:val="auto"/>
        <w:rPr>
          <w:rFonts w:hint="eastAsia" w:ascii="宋体" w:hAnsi="宋体" w:cs="宋体"/>
          <w:color w:val="auto"/>
          <w:sz w:val="21"/>
          <w:szCs w:val="21"/>
          <w:highlight w:val="none"/>
        </w:rPr>
      </w:pPr>
      <w:r>
        <w:rPr>
          <w:rStyle w:val="41"/>
          <w:rFonts w:hint="eastAsia" w:ascii="宋体" w:hAnsi="宋体" w:cs="宋体"/>
          <w:b/>
          <w:color w:val="auto"/>
          <w:sz w:val="21"/>
          <w:szCs w:val="21"/>
          <w:highlight w:val="none"/>
        </w:rPr>
        <w:t xml:space="preserve">七 </w:t>
      </w:r>
      <w:r>
        <w:rPr>
          <w:rFonts w:hint="eastAsia" w:ascii="宋体" w:hAnsi="宋体" w:cs="宋体"/>
          <w:b/>
          <w:color w:val="auto"/>
          <w:sz w:val="21"/>
          <w:szCs w:val="21"/>
          <w:highlight w:val="none"/>
        </w:rPr>
        <w:fldChar w:fldCharType="begin"/>
      </w:r>
      <w:r>
        <w:rPr>
          <w:rStyle w:val="41"/>
          <w:rFonts w:hint="eastAsia" w:ascii="宋体" w:hAnsi="宋体" w:cs="宋体"/>
          <w:b/>
          <w:color w:val="auto"/>
          <w:sz w:val="21"/>
          <w:szCs w:val="21"/>
          <w:highlight w:val="none"/>
        </w:rPr>
        <w:instrText xml:space="preserve"> HYPERLINK \l "_Toc519783899" </w:instrText>
      </w:r>
      <w:r>
        <w:rPr>
          <w:rFonts w:hint="eastAsia" w:ascii="宋体" w:hAnsi="宋体" w:cs="宋体"/>
          <w:b/>
          <w:color w:val="auto"/>
          <w:sz w:val="21"/>
          <w:szCs w:val="21"/>
          <w:highlight w:val="none"/>
        </w:rPr>
        <w:fldChar w:fldCharType="separate"/>
      </w:r>
      <w:r>
        <w:rPr>
          <w:rFonts w:hint="eastAsia" w:ascii="宋体" w:hAnsi="宋体" w:cs="宋体"/>
          <w:b/>
          <w:color w:val="auto"/>
          <w:sz w:val="21"/>
          <w:szCs w:val="21"/>
          <w:highlight w:val="none"/>
        </w:rPr>
        <w:fldChar w:fldCharType="begin"/>
      </w:r>
      <w:r>
        <w:rPr>
          <w:rStyle w:val="41"/>
          <w:rFonts w:hint="eastAsia" w:ascii="宋体" w:hAnsi="宋体" w:cs="宋体"/>
          <w:b/>
          <w:color w:val="auto"/>
          <w:sz w:val="21"/>
          <w:szCs w:val="21"/>
          <w:highlight w:val="none"/>
        </w:rPr>
        <w:instrText xml:space="preserve"> HYPERLINK  \l "_八、南京路泉河桥方案设计主要内容和技术要求" </w:instrText>
      </w:r>
      <w:r>
        <w:rPr>
          <w:rFonts w:hint="eastAsia" w:ascii="宋体" w:hAnsi="宋体" w:cs="宋体"/>
          <w:b/>
          <w:color w:val="auto"/>
          <w:sz w:val="21"/>
          <w:szCs w:val="21"/>
          <w:highlight w:val="none"/>
        </w:rPr>
        <w:fldChar w:fldCharType="separate"/>
      </w:r>
      <w:r>
        <w:rPr>
          <w:rFonts w:hint="eastAsia" w:ascii="宋体" w:hAnsi="宋体" w:cs="宋体"/>
          <w:b/>
          <w:color w:val="auto"/>
          <w:sz w:val="21"/>
          <w:szCs w:val="21"/>
          <w:highlight w:val="none"/>
        </w:rPr>
        <w:t>采购</w:t>
      </w:r>
      <w:r>
        <w:rPr>
          <w:rStyle w:val="41"/>
          <w:rFonts w:hint="eastAsia" w:ascii="宋体" w:hAnsi="宋体" w:cs="宋体"/>
          <w:b/>
          <w:color w:val="auto"/>
          <w:sz w:val="21"/>
          <w:szCs w:val="21"/>
          <w:highlight w:val="none"/>
        </w:rPr>
        <w:t>人、采购代理机构对本竞争性磋商文件的确</w:t>
      </w:r>
      <w:r>
        <w:rPr>
          <w:rFonts w:hint="eastAsia" w:ascii="宋体" w:hAnsi="宋体" w:cs="宋体"/>
          <w:b/>
          <w:color w:val="auto"/>
          <w:sz w:val="21"/>
          <w:szCs w:val="21"/>
          <w:highlight w:val="none"/>
        </w:rPr>
        <w:fldChar w:fldCharType="end"/>
      </w:r>
      <w:r>
        <w:rPr>
          <w:rStyle w:val="41"/>
          <w:rFonts w:hint="eastAsia" w:ascii="宋体" w:hAnsi="宋体" w:cs="宋体"/>
          <w:b/>
          <w:color w:val="auto"/>
          <w:sz w:val="21"/>
          <w:szCs w:val="21"/>
          <w:highlight w:val="none"/>
        </w:rPr>
        <w:t>认</w:t>
      </w:r>
      <w:r>
        <w:rPr>
          <w:rStyle w:val="41"/>
          <w:rFonts w:hint="eastAsia" w:ascii="宋体" w:hAnsi="宋体" w:cs="宋体"/>
          <w:b/>
          <w:color w:val="auto"/>
          <w:sz w:val="21"/>
          <w:szCs w:val="21"/>
          <w:highlight w:val="none"/>
        </w:rPr>
        <w:tab/>
      </w:r>
      <w:r>
        <w:rPr>
          <w:rFonts w:hint="eastAsia" w:ascii="宋体" w:hAnsi="宋体" w:cs="宋体"/>
          <w:b/>
          <w:color w:val="auto"/>
          <w:sz w:val="21"/>
          <w:szCs w:val="21"/>
          <w:highlight w:val="none"/>
        </w:rPr>
        <w:fldChar w:fldCharType="end"/>
      </w:r>
      <w:r>
        <w:rPr>
          <w:rFonts w:hint="eastAsia" w:ascii="宋体" w:hAnsi="宋体" w:cs="宋体"/>
          <w:color w:val="auto"/>
          <w:sz w:val="21"/>
          <w:szCs w:val="21"/>
          <w:highlight w:val="none"/>
        </w:rPr>
        <w:t>46</w:t>
      </w:r>
    </w:p>
    <w:p w14:paraId="709A4FAD">
      <w:pPr>
        <w:pStyle w:val="15"/>
        <w:keepNext w:val="0"/>
        <w:keepLines w:val="0"/>
        <w:pageBreakBefore w:val="0"/>
        <w:widowControl w:val="0"/>
        <w:kinsoku/>
        <w:wordWrap/>
        <w:overflowPunct/>
        <w:topLinePunct w:val="0"/>
        <w:autoSpaceDE/>
        <w:autoSpaceDN/>
        <w:bidi w:val="0"/>
        <w:adjustRightInd/>
        <w:snapToGrid/>
        <w:spacing w:before="0" w:beforeLines="0" w:after="0" w:afterLines="0" w:line="440" w:lineRule="exact"/>
        <w:textAlignment w:val="auto"/>
        <w:rPr>
          <w:rStyle w:val="41"/>
          <w:rFonts w:hint="eastAsia" w:ascii="宋体" w:hAnsi="宋体" w:cs="宋体"/>
          <w:b/>
          <w:color w:val="auto"/>
          <w:sz w:val="24"/>
          <w:highlight w:val="none"/>
        </w:rPr>
      </w:pPr>
      <w:r>
        <w:rPr>
          <w:rFonts w:hint="eastAsia" w:ascii="宋体" w:hAnsi="宋体" w:cs="宋体"/>
          <w:color w:val="auto"/>
          <w:sz w:val="21"/>
          <w:szCs w:val="21"/>
          <w:highlight w:val="none"/>
        </w:rPr>
        <w:fldChar w:fldCharType="end"/>
      </w:r>
    </w:p>
    <w:p w14:paraId="0F0016C4">
      <w:pPr>
        <w:pStyle w:val="15"/>
        <w:spacing w:before="156" w:beforeLines="50" w:after="156" w:afterLines="50" w:line="480" w:lineRule="exact"/>
        <w:rPr>
          <w:rFonts w:hint="eastAsia" w:ascii="宋体" w:hAnsi="宋体" w:cs="宋体"/>
          <w:color w:val="auto"/>
          <w:sz w:val="24"/>
          <w:szCs w:val="28"/>
          <w:highlight w:val="none"/>
        </w:rPr>
      </w:pPr>
    </w:p>
    <w:p w14:paraId="0A63A209">
      <w:pPr>
        <w:pStyle w:val="5"/>
        <w:spacing w:line="360" w:lineRule="auto"/>
        <w:jc w:val="center"/>
        <w:rPr>
          <w:rFonts w:hint="eastAsia" w:ascii="宋体" w:hAnsi="宋体" w:cs="宋体"/>
          <w:b/>
          <w:color w:val="auto"/>
          <w:szCs w:val="32"/>
          <w:highlight w:val="none"/>
        </w:rPr>
        <w:sectPr>
          <w:footerReference r:id="rId4" w:type="first"/>
          <w:footerReference r:id="rId3" w:type="default"/>
          <w:pgSz w:w="11906" w:h="16838"/>
          <w:pgMar w:top="1134" w:right="1417" w:bottom="1134" w:left="1417" w:header="283" w:footer="680" w:gutter="0"/>
          <w:pgNumType w:start="1"/>
          <w:cols w:space="720" w:num="1"/>
          <w:titlePg/>
          <w:docGrid w:type="lines" w:linePitch="312" w:charSpace="0"/>
        </w:sectPr>
      </w:pPr>
      <w:bookmarkStart w:id="0" w:name="_Toc519783880"/>
    </w:p>
    <w:p w14:paraId="7DDF9AA7">
      <w:pPr>
        <w:spacing w:before="156" w:beforeLines="50" w:after="156" w:afterLines="50" w:line="440" w:lineRule="exact"/>
        <w:jc w:val="center"/>
        <w:outlineLvl w:val="9"/>
        <w:rPr>
          <w:rFonts w:hint="eastAsia" w:ascii="宋体" w:hAnsi="宋体" w:cs="宋体"/>
          <w:b/>
          <w:color w:val="auto"/>
          <w:sz w:val="32"/>
          <w:szCs w:val="32"/>
          <w:highlight w:val="none"/>
          <w:lang w:eastAsia="zh-CN"/>
        </w:rPr>
      </w:pPr>
      <w:r>
        <w:rPr>
          <w:rFonts w:hint="eastAsia" w:ascii="宋体" w:hAnsi="宋体" w:cs="宋体"/>
          <w:b/>
          <w:color w:val="auto"/>
          <w:sz w:val="32"/>
          <w:szCs w:val="32"/>
          <w:highlight w:val="none"/>
          <w:lang w:eastAsia="zh-CN"/>
        </w:rPr>
        <w:t>滁州学院档案数字化服务项目（三期）及基建档案整理</w:t>
      </w:r>
    </w:p>
    <w:p w14:paraId="2BB58DE5">
      <w:pPr>
        <w:spacing w:before="156" w:beforeLines="50" w:after="156" w:afterLines="50" w:line="440" w:lineRule="exact"/>
        <w:jc w:val="center"/>
        <w:outlineLvl w:val="0"/>
        <w:rPr>
          <w:rFonts w:hint="eastAsia" w:ascii="宋体" w:hAnsi="宋体" w:cs="宋体"/>
          <w:b/>
          <w:color w:val="auto"/>
          <w:sz w:val="32"/>
          <w:szCs w:val="32"/>
          <w:highlight w:val="none"/>
        </w:rPr>
      </w:pPr>
      <w:r>
        <w:rPr>
          <w:rFonts w:hint="eastAsia" w:ascii="宋体" w:hAnsi="宋体" w:cs="宋体"/>
          <w:b/>
          <w:color w:val="auto"/>
          <w:sz w:val="32"/>
          <w:szCs w:val="32"/>
          <w:highlight w:val="none"/>
        </w:rPr>
        <w:t>竞争性磋商公告</w:t>
      </w:r>
      <w:bookmarkEnd w:id="0"/>
    </w:p>
    <w:p w14:paraId="67247968">
      <w:pPr>
        <w:spacing w:line="440" w:lineRule="exact"/>
        <w:jc w:val="left"/>
        <w:rPr>
          <w:rFonts w:hint="eastAsia" w:ascii="宋体" w:hAnsi="宋体" w:cs="宋体"/>
          <w:color w:val="auto"/>
          <w:szCs w:val="21"/>
          <w:highlight w:val="none"/>
        </w:rPr>
      </w:pPr>
      <w:bookmarkStart w:id="179" w:name="_GoBack"/>
      <w:r>
        <w:rPr>
          <w:rFonts w:hint="eastAsia" w:ascii="宋体" w:hAnsi="宋体" w:cs="宋体"/>
          <w:color w:val="auto"/>
          <w:szCs w:val="21"/>
          <w:highlight w:val="none"/>
        </w:rPr>
        <w:t>项目概况</w:t>
      </w:r>
    </w:p>
    <w:p w14:paraId="4A892C00">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eastAsia="zh-CN"/>
        </w:rPr>
        <w:t>滁州学院档案数字化服务项目（三期）及基建档案整理</w:t>
      </w:r>
      <w:r>
        <w:rPr>
          <w:rFonts w:hint="eastAsia" w:ascii="宋体" w:hAnsi="宋体" w:cs="宋体"/>
          <w:color w:val="auto"/>
          <w:szCs w:val="21"/>
          <w:highlight w:val="none"/>
        </w:rPr>
        <w:t>的潜在投标供应商应在滁州学院网站（http://zcc.chzu.edu.cn）资产与实验室管理处网页采购公告栏中下载磋商文件。并于</w:t>
      </w:r>
      <w:r>
        <w:rPr>
          <w:rFonts w:hint="eastAsia" w:ascii="黑体" w:hAnsi="黑体" w:eastAsia="黑体" w:cs="黑体"/>
          <w:b/>
          <w:bCs/>
          <w:color w:val="auto"/>
          <w:szCs w:val="21"/>
          <w:highlight w:val="none"/>
        </w:rPr>
        <w:t>2024年0</w:t>
      </w:r>
      <w:r>
        <w:rPr>
          <w:rFonts w:hint="eastAsia" w:ascii="黑体" w:hAnsi="黑体" w:eastAsia="黑体" w:cs="黑体"/>
          <w:b/>
          <w:bCs/>
          <w:color w:val="auto"/>
          <w:szCs w:val="21"/>
          <w:highlight w:val="none"/>
          <w:lang w:val="en-US" w:eastAsia="zh-CN"/>
        </w:rPr>
        <w:t>8</w:t>
      </w:r>
      <w:r>
        <w:rPr>
          <w:rFonts w:hint="eastAsia" w:ascii="黑体" w:hAnsi="黑体" w:eastAsia="黑体" w:cs="黑体"/>
          <w:b/>
          <w:bCs/>
          <w:color w:val="auto"/>
          <w:szCs w:val="21"/>
          <w:highlight w:val="none"/>
        </w:rPr>
        <w:t>月</w:t>
      </w:r>
      <w:r>
        <w:rPr>
          <w:rFonts w:hint="eastAsia" w:ascii="黑体" w:hAnsi="黑体" w:eastAsia="黑体" w:cs="黑体"/>
          <w:b/>
          <w:bCs/>
          <w:color w:val="auto"/>
          <w:szCs w:val="21"/>
          <w:highlight w:val="none"/>
          <w:lang w:val="en-US" w:eastAsia="zh-CN"/>
        </w:rPr>
        <w:t>23</w:t>
      </w:r>
      <w:r>
        <w:rPr>
          <w:rFonts w:hint="eastAsia" w:ascii="黑体" w:hAnsi="黑体" w:eastAsia="黑体" w:cs="黑体"/>
          <w:b/>
          <w:bCs/>
          <w:color w:val="auto"/>
          <w:szCs w:val="21"/>
          <w:highlight w:val="none"/>
        </w:rPr>
        <w:t>日</w:t>
      </w:r>
      <w:r>
        <w:rPr>
          <w:rFonts w:hint="eastAsia" w:ascii="黑体" w:hAnsi="黑体" w:eastAsia="黑体" w:cs="黑体"/>
          <w:b/>
          <w:bCs/>
          <w:color w:val="auto"/>
          <w:szCs w:val="21"/>
          <w:highlight w:val="none"/>
          <w:lang w:val="en-US" w:eastAsia="zh-CN"/>
        </w:rPr>
        <w:t>09</w:t>
      </w:r>
      <w:r>
        <w:rPr>
          <w:rFonts w:hint="eastAsia" w:ascii="黑体" w:hAnsi="黑体" w:eastAsia="黑体" w:cs="黑体"/>
          <w:b/>
          <w:bCs/>
          <w:color w:val="auto"/>
          <w:szCs w:val="21"/>
          <w:highlight w:val="none"/>
        </w:rPr>
        <w:t>时00分</w:t>
      </w:r>
      <w:r>
        <w:rPr>
          <w:rFonts w:hint="eastAsia" w:ascii="宋体" w:hAnsi="宋体" w:cs="宋体"/>
          <w:color w:val="auto"/>
          <w:szCs w:val="21"/>
          <w:highlight w:val="none"/>
        </w:rPr>
        <w:t>（北京时间）前递交磋商文件。</w:t>
      </w:r>
    </w:p>
    <w:p w14:paraId="50ECA43C">
      <w:pPr>
        <w:pStyle w:val="15"/>
        <w:spacing w:before="157" w:beforeLines="50" w:after="157" w:afterLines="50" w:line="440" w:lineRule="exact"/>
        <w:jc w:val="left"/>
        <w:outlineLvl w:val="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（一）项目名称及内容</w:t>
      </w:r>
    </w:p>
    <w:p w14:paraId="1775C658">
      <w:pPr>
        <w:autoSpaceDE w:val="0"/>
        <w:autoSpaceDN w:val="0"/>
        <w:adjustRightInd w:val="0"/>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1、项目编号：2024CG-0</w:t>
      </w:r>
      <w:r>
        <w:rPr>
          <w:rFonts w:hint="eastAsia" w:ascii="宋体" w:hAnsi="宋体" w:cs="宋体"/>
          <w:color w:val="auto"/>
          <w:szCs w:val="21"/>
          <w:highlight w:val="none"/>
          <w:lang w:val="en-US" w:eastAsia="zh-CN"/>
        </w:rPr>
        <w:t>38</w:t>
      </w:r>
    </w:p>
    <w:p w14:paraId="15B0C992">
      <w:pPr>
        <w:autoSpaceDE w:val="0"/>
        <w:autoSpaceDN w:val="0"/>
        <w:adjustRightInd w:val="0"/>
        <w:spacing w:line="440" w:lineRule="exact"/>
        <w:ind w:firstLine="420" w:firstLineChars="200"/>
        <w:jc w:val="left"/>
        <w:rPr>
          <w:rFonts w:hint="eastAsia" w:ascii="宋体" w:hAnsi="宋体" w:cs="宋体"/>
          <w:color w:val="auto"/>
          <w:szCs w:val="21"/>
          <w:highlight w:val="none"/>
          <w:lang w:eastAsia="zh-CN"/>
        </w:rPr>
      </w:pPr>
      <w:r>
        <w:rPr>
          <w:rFonts w:hint="eastAsia" w:ascii="宋体" w:hAnsi="宋体" w:cs="宋体"/>
          <w:color w:val="auto"/>
          <w:szCs w:val="21"/>
          <w:highlight w:val="none"/>
        </w:rPr>
        <w:t>2、项目名称：</w:t>
      </w:r>
      <w:r>
        <w:rPr>
          <w:rFonts w:hint="eastAsia" w:ascii="宋体" w:hAnsi="宋体" w:cs="宋体"/>
          <w:color w:val="auto"/>
          <w:szCs w:val="21"/>
          <w:highlight w:val="none"/>
          <w:lang w:eastAsia="zh-CN"/>
        </w:rPr>
        <w:t>滁州学院档案数字化服务项目（三期）及基建档案整理</w:t>
      </w:r>
    </w:p>
    <w:p w14:paraId="40F36B99">
      <w:pPr>
        <w:autoSpaceDE w:val="0"/>
        <w:autoSpaceDN w:val="0"/>
        <w:adjustRightIn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3、项目地点：滁州学院校区内 </w:t>
      </w:r>
    </w:p>
    <w:p w14:paraId="1A9ED61E">
      <w:pPr>
        <w:autoSpaceDE w:val="0"/>
        <w:autoSpaceDN w:val="0"/>
        <w:adjustRightIn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4、项目单位：滁州学院资产与实验室管理处 </w:t>
      </w:r>
    </w:p>
    <w:p w14:paraId="1A829886">
      <w:pPr>
        <w:autoSpaceDE w:val="0"/>
        <w:autoSpaceDN w:val="0"/>
        <w:adjustRightIn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5、资金来源：财政资金</w:t>
      </w:r>
    </w:p>
    <w:p w14:paraId="425BD2DE">
      <w:pPr>
        <w:autoSpaceDE w:val="0"/>
        <w:autoSpaceDN w:val="0"/>
        <w:adjustRightIn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6、最高限价：</w:t>
      </w:r>
      <w:r>
        <w:rPr>
          <w:rFonts w:hint="eastAsia" w:ascii="宋体" w:hAnsi="宋体" w:cs="宋体"/>
          <w:color w:val="auto"/>
          <w:szCs w:val="21"/>
          <w:highlight w:val="none"/>
          <w:lang w:val="en-US" w:eastAsia="zh-CN"/>
        </w:rPr>
        <w:t>350000.00</w:t>
      </w:r>
      <w:r>
        <w:rPr>
          <w:rFonts w:hint="eastAsia" w:ascii="宋体" w:hAnsi="宋体" w:cs="宋体"/>
          <w:color w:val="auto"/>
          <w:szCs w:val="21"/>
          <w:highlight w:val="none"/>
        </w:rPr>
        <w:t>元（</w:t>
      </w:r>
      <w:r>
        <w:rPr>
          <w:rFonts w:hint="eastAsia" w:ascii="宋体" w:hAnsi="宋体" w:cs="宋体"/>
          <w:color w:val="auto"/>
          <w:szCs w:val="21"/>
          <w:highlight w:val="none"/>
          <w:lang w:eastAsia="zh-CN"/>
        </w:rPr>
        <w:t>叁拾伍万元整</w:t>
      </w:r>
      <w:r>
        <w:rPr>
          <w:rFonts w:hint="eastAsia" w:ascii="宋体" w:hAnsi="宋体" w:cs="宋体"/>
          <w:color w:val="auto"/>
          <w:szCs w:val="21"/>
          <w:highlight w:val="none"/>
        </w:rPr>
        <w:t>）。</w:t>
      </w:r>
    </w:p>
    <w:p w14:paraId="0A586AB3">
      <w:pPr>
        <w:autoSpaceDE w:val="0"/>
        <w:autoSpaceDN w:val="0"/>
        <w:adjustRightIn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7、标段（包别）划分：共一个标段</w:t>
      </w:r>
    </w:p>
    <w:p w14:paraId="36740F75">
      <w:pPr>
        <w:autoSpaceDE w:val="0"/>
        <w:autoSpaceDN w:val="0"/>
        <w:adjustRightInd w:val="0"/>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8、服务期限：签订合同后120个日历天供货安装完毕</w:t>
      </w:r>
      <w:r>
        <w:rPr>
          <w:rFonts w:hint="eastAsia" w:ascii="宋体" w:hAnsi="宋体" w:cs="宋体"/>
          <w:color w:val="auto"/>
          <w:szCs w:val="21"/>
          <w:highlight w:val="none"/>
          <w:lang w:eastAsia="zh-CN"/>
        </w:rPr>
        <w:t>。</w:t>
      </w:r>
    </w:p>
    <w:p w14:paraId="7D4C9B70">
      <w:pPr>
        <w:spacing w:line="440" w:lineRule="exact"/>
        <w:ind w:firstLine="420" w:firstLineChars="200"/>
        <w:jc w:val="left"/>
        <w:outlineLvl w:val="1"/>
        <w:rPr>
          <w:rFonts w:hint="eastAsia" w:ascii="宋体" w:hAnsi="宋体" w:cs="宋体"/>
          <w:color w:val="auto"/>
          <w:szCs w:val="21"/>
          <w:highlight w:val="none"/>
          <w:lang w:val="zh-CN"/>
        </w:rPr>
      </w:pPr>
      <w:r>
        <w:rPr>
          <w:rFonts w:hint="eastAsia" w:ascii="宋体" w:hAnsi="宋体" w:cs="宋体"/>
          <w:color w:val="auto"/>
          <w:szCs w:val="21"/>
          <w:highlight w:val="none"/>
        </w:rPr>
        <w:t>9、项目概况：详见采购服务需求及技术要求</w:t>
      </w:r>
      <w:r>
        <w:rPr>
          <w:rFonts w:hint="eastAsia" w:ascii="宋体" w:hAnsi="宋体" w:cs="宋体"/>
          <w:color w:val="auto"/>
          <w:szCs w:val="21"/>
          <w:highlight w:val="none"/>
          <w:lang w:val="zh-CN"/>
        </w:rPr>
        <w:t>。</w:t>
      </w:r>
    </w:p>
    <w:p w14:paraId="7211A94E">
      <w:pPr>
        <w:pStyle w:val="15"/>
        <w:spacing w:before="157" w:beforeLines="50" w:after="157" w:afterLines="50" w:line="440" w:lineRule="exact"/>
        <w:jc w:val="left"/>
        <w:outlineLvl w:val="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（二）磋商供应商资格</w:t>
      </w:r>
    </w:p>
    <w:p w14:paraId="08A07E04">
      <w:pPr>
        <w:autoSpaceDE w:val="0"/>
        <w:autoSpaceDN w:val="0"/>
        <w:adjustRightIn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1、供应商必须具有承担民事责任能力，且具有有效的营业执照（或三证合一有效证件）；</w:t>
      </w:r>
    </w:p>
    <w:p w14:paraId="0E6DE9CE">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、本项目不接受联合体；</w:t>
      </w:r>
    </w:p>
    <w:p w14:paraId="3921ADA4">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、信誉要求：供应商不得存在以下情形：</w:t>
      </w:r>
    </w:p>
    <w:p w14:paraId="4AB2C708">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①供应商被人民法院列入失信被执行人的；</w:t>
      </w:r>
    </w:p>
    <w:p w14:paraId="001476AF">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②供应商或其法定代表人被人民检察院列入行贿犯罪档案的；</w:t>
      </w:r>
    </w:p>
    <w:p w14:paraId="1F2877E2">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③供应商被市场监督管理部门列入经营异常名录或者严重违法企业名单的；</w:t>
      </w:r>
    </w:p>
    <w:p w14:paraId="1EAC50C1">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④供应商被税收部门列入重大税收违法案件当事人的；</w:t>
      </w:r>
    </w:p>
    <w:p w14:paraId="067CCD6B">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⑤供应商被采购监管部门列入采购严重违法失信行为记录名单的；</w:t>
      </w:r>
    </w:p>
    <w:p w14:paraId="2CE202C4">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⑥在“信用中国”网站上披露仍在公示期的严重失信行为的；</w:t>
      </w:r>
    </w:p>
    <w:p w14:paraId="35BFFD3E">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⑦被滁州市县两级行业主管部门及公管部门禁止在一定期限内参加采购活动且在禁止期限内的；</w:t>
      </w:r>
    </w:p>
    <w:p w14:paraId="6D8F7E8F">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⑧被滁州市县两级公管部门记入不良行为记录或者信用信息记录，且在披露期内的；</w:t>
      </w:r>
    </w:p>
    <w:p w14:paraId="5A50887D">
      <w:pPr>
        <w:pStyle w:val="15"/>
        <w:spacing w:before="157" w:beforeLines="50" w:after="157" w:afterLines="50" w:line="440" w:lineRule="exact"/>
        <w:jc w:val="left"/>
        <w:outlineLvl w:val="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（三）磋商文件发售办法</w:t>
      </w:r>
    </w:p>
    <w:p w14:paraId="218A6E12">
      <w:pPr>
        <w:pStyle w:val="15"/>
        <w:spacing w:after="0" w:line="440" w:lineRule="exact"/>
        <w:ind w:firstLine="420" w:firstLineChars="200"/>
        <w:jc w:val="left"/>
        <w:rPr>
          <w:rFonts w:hint="eastAsia" w:ascii="宋体" w:hAnsi="宋体" w:eastAsia="宋体" w:cs="宋体"/>
          <w:b/>
          <w:bCs/>
          <w:color w:val="auto"/>
          <w:szCs w:val="21"/>
          <w:highlight w:val="none"/>
          <w:lang w:eastAsia="zh-CN"/>
        </w:rPr>
      </w:pPr>
      <w:r>
        <w:rPr>
          <w:rFonts w:hint="eastAsia" w:ascii="宋体" w:hAnsi="宋体" w:cs="宋体"/>
          <w:color w:val="auto"/>
          <w:szCs w:val="21"/>
          <w:highlight w:val="none"/>
        </w:rPr>
        <w:t>1、磋商文件发售时间：</w:t>
      </w:r>
      <w:r>
        <w:rPr>
          <w:rFonts w:hint="eastAsia" w:ascii="黑体" w:hAnsi="黑体" w:eastAsia="黑体" w:cs="黑体"/>
          <w:b/>
          <w:bCs/>
          <w:color w:val="auto"/>
          <w:szCs w:val="21"/>
          <w:highlight w:val="none"/>
        </w:rPr>
        <w:t>2024年</w:t>
      </w:r>
      <w:r>
        <w:rPr>
          <w:rFonts w:hint="eastAsia" w:ascii="黑体" w:hAnsi="黑体" w:eastAsia="黑体" w:cs="黑体"/>
          <w:b/>
          <w:bCs/>
          <w:color w:val="auto"/>
          <w:szCs w:val="21"/>
          <w:highlight w:val="none"/>
          <w:lang w:val="en-US" w:eastAsia="zh-CN"/>
        </w:rPr>
        <w:t>08</w:t>
      </w:r>
      <w:r>
        <w:rPr>
          <w:rFonts w:hint="eastAsia" w:ascii="黑体" w:hAnsi="黑体" w:eastAsia="黑体" w:cs="黑体"/>
          <w:b/>
          <w:bCs/>
          <w:color w:val="auto"/>
          <w:szCs w:val="21"/>
          <w:highlight w:val="none"/>
        </w:rPr>
        <w:t>月</w:t>
      </w:r>
      <w:r>
        <w:rPr>
          <w:rFonts w:hint="eastAsia" w:ascii="黑体" w:hAnsi="黑体" w:eastAsia="黑体" w:cs="黑体"/>
          <w:b/>
          <w:bCs/>
          <w:color w:val="auto"/>
          <w:szCs w:val="21"/>
          <w:highlight w:val="none"/>
          <w:lang w:val="en-US" w:eastAsia="zh-CN"/>
        </w:rPr>
        <w:t>13</w:t>
      </w:r>
      <w:r>
        <w:rPr>
          <w:rFonts w:hint="eastAsia" w:ascii="黑体" w:hAnsi="黑体" w:eastAsia="黑体" w:cs="黑体"/>
          <w:b/>
          <w:bCs/>
          <w:color w:val="auto"/>
          <w:szCs w:val="21"/>
          <w:highlight w:val="none"/>
        </w:rPr>
        <w:t>日17时至</w:t>
      </w:r>
      <w:r>
        <w:rPr>
          <w:rFonts w:hint="eastAsia" w:ascii="黑体" w:hAnsi="黑体" w:eastAsia="黑体" w:cs="黑体"/>
          <w:b/>
          <w:bCs/>
          <w:color w:val="auto"/>
          <w:szCs w:val="21"/>
          <w:highlight w:val="none"/>
          <w:lang w:eastAsia="zh-CN"/>
        </w:rPr>
        <w:t>2024年08月</w:t>
      </w:r>
      <w:r>
        <w:rPr>
          <w:rFonts w:hint="eastAsia" w:ascii="黑体" w:hAnsi="黑体" w:eastAsia="黑体" w:cs="黑体"/>
          <w:b/>
          <w:bCs/>
          <w:color w:val="auto"/>
          <w:szCs w:val="21"/>
          <w:highlight w:val="none"/>
          <w:lang w:val="en-US" w:eastAsia="zh-CN"/>
        </w:rPr>
        <w:t>23</w:t>
      </w:r>
      <w:r>
        <w:rPr>
          <w:rFonts w:hint="eastAsia" w:ascii="黑体" w:hAnsi="黑体" w:eastAsia="黑体" w:cs="黑体"/>
          <w:b/>
          <w:bCs/>
          <w:color w:val="auto"/>
          <w:szCs w:val="21"/>
          <w:highlight w:val="none"/>
          <w:lang w:eastAsia="zh-CN"/>
        </w:rPr>
        <w:t>日09时00分</w:t>
      </w:r>
    </w:p>
    <w:p w14:paraId="609C9CDF">
      <w:pPr>
        <w:pStyle w:val="15"/>
        <w:spacing w:after="0" w:line="440" w:lineRule="exact"/>
        <w:ind w:firstLine="420" w:firstLineChars="200"/>
        <w:jc w:val="left"/>
        <w:outlineLvl w:val="1"/>
        <w:rPr>
          <w:rFonts w:hint="eastAsia" w:ascii="宋体" w:hAnsi="宋体" w:cs="宋体"/>
          <w:color w:val="auto"/>
          <w:szCs w:val="21"/>
          <w:highlight w:val="none"/>
        </w:rPr>
      </w:pPr>
      <w:r>
        <w:rPr>
          <w:rFonts w:hint="eastAsia" w:ascii="宋体" w:hAnsi="宋体" w:cs="宋体"/>
          <w:color w:val="auto"/>
          <w:szCs w:val="21"/>
          <w:highlight w:val="none"/>
        </w:rPr>
        <w:t>2、磋商文件价格：每套人民币 0 元整，磋商文件售后不退。</w:t>
      </w:r>
    </w:p>
    <w:p w14:paraId="010EDF85">
      <w:pPr>
        <w:pStyle w:val="15"/>
        <w:spacing w:after="0"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3、磋商文件等领取方式：从滁州学院网站（http://zcc.chzu.edu.cn）资产与实验室管理处网页采购公告栏处下载，如供应商不及时下载造成后果由供应商自负。 </w:t>
      </w:r>
    </w:p>
    <w:p w14:paraId="03674431">
      <w:pPr>
        <w:pStyle w:val="15"/>
        <w:spacing w:before="157" w:beforeLines="50" w:after="157" w:afterLines="50" w:line="440" w:lineRule="exact"/>
        <w:jc w:val="left"/>
        <w:outlineLvl w:val="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（四）磋商时间及地点</w:t>
      </w:r>
    </w:p>
    <w:p w14:paraId="77206905">
      <w:pPr>
        <w:pStyle w:val="15"/>
        <w:spacing w:after="0" w:line="440" w:lineRule="exact"/>
        <w:ind w:firstLine="420" w:firstLineChars="200"/>
        <w:jc w:val="left"/>
        <w:outlineLvl w:val="1"/>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1、磋商时间：</w:t>
      </w:r>
      <w:r>
        <w:rPr>
          <w:rFonts w:hint="eastAsia" w:ascii="黑体" w:hAnsi="黑体" w:eastAsia="黑体" w:cs="黑体"/>
          <w:b/>
          <w:bCs/>
          <w:color w:val="auto"/>
          <w:szCs w:val="21"/>
          <w:highlight w:val="none"/>
          <w:lang w:eastAsia="zh-CN"/>
        </w:rPr>
        <w:t>2024年08月</w:t>
      </w:r>
      <w:r>
        <w:rPr>
          <w:rFonts w:hint="eastAsia" w:ascii="黑体" w:hAnsi="黑体" w:eastAsia="黑体" w:cs="黑体"/>
          <w:b/>
          <w:bCs/>
          <w:color w:val="auto"/>
          <w:szCs w:val="21"/>
          <w:highlight w:val="none"/>
          <w:lang w:val="en-US" w:eastAsia="zh-CN"/>
        </w:rPr>
        <w:t>23</w:t>
      </w:r>
      <w:r>
        <w:rPr>
          <w:rFonts w:hint="eastAsia" w:ascii="黑体" w:hAnsi="黑体" w:eastAsia="黑体" w:cs="黑体"/>
          <w:b/>
          <w:bCs/>
          <w:color w:val="auto"/>
          <w:szCs w:val="21"/>
          <w:highlight w:val="none"/>
          <w:lang w:eastAsia="zh-CN"/>
        </w:rPr>
        <w:t>日09时00分</w:t>
      </w:r>
    </w:p>
    <w:p w14:paraId="1B99AF16">
      <w:pPr>
        <w:pStyle w:val="15"/>
        <w:spacing w:after="0"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2、磋商地点：滁州市丰乐大道1899号皖东国际车城A区写字楼A6栋3楼</w:t>
      </w:r>
    </w:p>
    <w:p w14:paraId="53290A00">
      <w:pPr>
        <w:pStyle w:val="15"/>
        <w:spacing w:before="157" w:beforeLines="50" w:after="157" w:afterLines="50" w:line="440" w:lineRule="exact"/>
        <w:jc w:val="left"/>
        <w:outlineLvl w:val="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（五）响应文件提交截止时间</w:t>
      </w:r>
    </w:p>
    <w:p w14:paraId="5444B927">
      <w:pPr>
        <w:pStyle w:val="15"/>
        <w:spacing w:after="0" w:line="440" w:lineRule="exact"/>
        <w:ind w:firstLine="422" w:firstLineChars="200"/>
        <w:jc w:val="left"/>
        <w:outlineLvl w:val="1"/>
        <w:rPr>
          <w:rFonts w:hint="eastAsia" w:ascii="黑体" w:hAnsi="黑体" w:eastAsia="黑体" w:cs="黑体"/>
          <w:b/>
          <w:bCs/>
          <w:color w:val="auto"/>
          <w:szCs w:val="21"/>
          <w:highlight w:val="none"/>
          <w:lang w:eastAsia="zh-CN"/>
        </w:rPr>
      </w:pPr>
      <w:r>
        <w:rPr>
          <w:rFonts w:hint="eastAsia" w:ascii="黑体" w:hAnsi="黑体" w:eastAsia="黑体" w:cs="黑体"/>
          <w:b/>
          <w:bCs/>
          <w:color w:val="auto"/>
          <w:szCs w:val="21"/>
          <w:highlight w:val="none"/>
          <w:lang w:eastAsia="zh-CN"/>
        </w:rPr>
        <w:t>2024年08月</w:t>
      </w:r>
      <w:r>
        <w:rPr>
          <w:rFonts w:hint="eastAsia" w:ascii="黑体" w:hAnsi="黑体" w:eastAsia="黑体" w:cs="黑体"/>
          <w:b/>
          <w:bCs/>
          <w:color w:val="auto"/>
          <w:szCs w:val="21"/>
          <w:highlight w:val="none"/>
          <w:lang w:val="en-US" w:eastAsia="zh-CN"/>
        </w:rPr>
        <w:t>23</w:t>
      </w:r>
      <w:r>
        <w:rPr>
          <w:rFonts w:hint="eastAsia" w:ascii="黑体" w:hAnsi="黑体" w:eastAsia="黑体" w:cs="黑体"/>
          <w:b/>
          <w:bCs/>
          <w:color w:val="auto"/>
          <w:szCs w:val="21"/>
          <w:highlight w:val="none"/>
          <w:lang w:eastAsia="zh-CN"/>
        </w:rPr>
        <w:t>日09时00分</w:t>
      </w:r>
    </w:p>
    <w:p w14:paraId="18918A02">
      <w:pPr>
        <w:pStyle w:val="15"/>
        <w:spacing w:before="157" w:beforeLines="50" w:after="157" w:afterLines="50" w:line="440" w:lineRule="exact"/>
        <w:jc w:val="left"/>
        <w:outlineLvl w:val="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（六）磋商保证金金额及要求</w:t>
      </w:r>
    </w:p>
    <w:p w14:paraId="22B2346A">
      <w:pPr>
        <w:spacing w:line="440" w:lineRule="exact"/>
        <w:ind w:firstLine="420" w:firstLineChars="200"/>
        <w:jc w:val="left"/>
        <w:outlineLvl w:val="1"/>
        <w:rPr>
          <w:rFonts w:hint="eastAsia" w:ascii="宋体" w:hAnsi="宋体" w:cs="宋体"/>
          <w:color w:val="auto"/>
          <w:szCs w:val="21"/>
          <w:highlight w:val="none"/>
        </w:rPr>
      </w:pPr>
      <w:r>
        <w:rPr>
          <w:rFonts w:hint="eastAsia" w:ascii="宋体" w:hAnsi="宋体" w:cs="宋体"/>
          <w:color w:val="auto"/>
          <w:szCs w:val="21"/>
          <w:highlight w:val="none"/>
        </w:rPr>
        <w:t>1.是否要求供应商提交保证金：</w:t>
      </w:r>
      <w:r>
        <w:rPr>
          <w:rFonts w:hint="eastAsia" w:ascii="宋体" w:hAnsi="宋体" w:cs="宋体"/>
          <w:color w:val="auto"/>
          <w:szCs w:val="21"/>
          <w:highlight w:val="none"/>
          <w:lang w:eastAsia="zh-CN"/>
        </w:rPr>
        <w:t>☑</w:t>
      </w:r>
      <w:r>
        <w:rPr>
          <w:rFonts w:hint="eastAsia" w:ascii="宋体" w:hAnsi="宋体" w:cs="宋体"/>
          <w:color w:val="auto"/>
          <w:szCs w:val="21"/>
          <w:highlight w:val="none"/>
        </w:rPr>
        <w:t>不要求</w:t>
      </w:r>
    </w:p>
    <w:p w14:paraId="06A2210E">
      <w:pPr>
        <w:pStyle w:val="15"/>
        <w:spacing w:before="157" w:beforeLines="50" w:after="157" w:afterLines="50" w:line="440" w:lineRule="exact"/>
        <w:jc w:val="left"/>
        <w:outlineLvl w:val="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（七）联系方法</w:t>
      </w:r>
    </w:p>
    <w:p w14:paraId="589F67BF">
      <w:pPr>
        <w:autoSpaceDE w:val="0"/>
        <w:autoSpaceDN w:val="0"/>
        <w:adjustRightIn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项目单位：滁州学院资产与实验室管理处</w:t>
      </w:r>
    </w:p>
    <w:p w14:paraId="0349F04C">
      <w:pPr>
        <w:autoSpaceDE w:val="0"/>
        <w:autoSpaceDN w:val="0"/>
        <w:adjustRightIn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地址：安徽省滁州市会峰西路1号滁州学院会峰校区 </w:t>
      </w:r>
    </w:p>
    <w:p w14:paraId="6C3FCE0D">
      <w:pPr>
        <w:pStyle w:val="13"/>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采购联系人：</w:t>
      </w:r>
      <w:r>
        <w:rPr>
          <w:rFonts w:hint="eastAsia" w:ascii="宋体" w:hAnsi="宋体" w:cs="宋体"/>
          <w:color w:val="auto"/>
          <w:highlight w:val="none"/>
        </w:rPr>
        <w:t>陈</w:t>
      </w:r>
      <w:r>
        <w:rPr>
          <w:rFonts w:hint="eastAsia" w:ascii="宋体" w:hAnsi="宋体" w:cs="宋体"/>
          <w:color w:val="auto"/>
          <w:szCs w:val="21"/>
          <w:highlight w:val="none"/>
        </w:rPr>
        <w:t>老师、王</w:t>
      </w:r>
      <w:r>
        <w:rPr>
          <w:rFonts w:hint="eastAsia" w:ascii="宋体" w:hAnsi="宋体" w:cs="宋体"/>
          <w:color w:val="auto"/>
          <w:highlight w:val="none"/>
        </w:rPr>
        <w:t>老师</w:t>
      </w:r>
    </w:p>
    <w:p w14:paraId="773D6981">
      <w:pPr>
        <w:autoSpaceDE w:val="0"/>
        <w:autoSpaceDN w:val="0"/>
        <w:adjustRightIn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电话： 0550-3512003、15855097225</w:t>
      </w:r>
    </w:p>
    <w:p w14:paraId="3F3128D5">
      <w:pPr>
        <w:autoSpaceDE w:val="0"/>
        <w:autoSpaceDN w:val="0"/>
        <w:adjustRightIn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采购代理机构：安徽立地工程咨询有限公司</w:t>
      </w:r>
    </w:p>
    <w:p w14:paraId="3E7585FB">
      <w:pPr>
        <w:autoSpaceDE w:val="0"/>
        <w:autoSpaceDN w:val="0"/>
        <w:adjustRightIn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地址：滁州市丰乐大道1899号皖东国际车城A区写字楼A6栋3楼</w:t>
      </w:r>
    </w:p>
    <w:p w14:paraId="36F12F01">
      <w:pPr>
        <w:autoSpaceDE w:val="0"/>
        <w:autoSpaceDN w:val="0"/>
        <w:adjustRightIn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联系人：全晨曦</w:t>
      </w:r>
    </w:p>
    <w:p w14:paraId="30C119C2">
      <w:pPr>
        <w:autoSpaceDE w:val="0"/>
        <w:autoSpaceDN w:val="0"/>
        <w:adjustRightIn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电话：18075270227 、13965950189</w:t>
      </w:r>
    </w:p>
    <w:p w14:paraId="04978FE4">
      <w:pPr>
        <w:pStyle w:val="15"/>
        <w:spacing w:before="157" w:beforeLines="50" w:after="157" w:afterLines="50" w:line="440" w:lineRule="exact"/>
        <w:jc w:val="left"/>
        <w:outlineLvl w:val="0"/>
        <w:rPr>
          <w:rFonts w:hint="eastAsia" w:ascii="宋体" w:hAnsi="宋体" w:cs="宋体"/>
          <w:b/>
          <w:bCs/>
          <w:color w:val="auto"/>
          <w:sz w:val="24"/>
          <w:highlight w:val="none"/>
        </w:rPr>
      </w:pPr>
      <w:r>
        <w:rPr>
          <w:rFonts w:hint="eastAsia" w:ascii="宋体" w:hAnsi="宋体" w:cs="宋体"/>
          <w:b/>
          <w:bCs/>
          <w:color w:val="auto"/>
          <w:sz w:val="24"/>
          <w:highlight w:val="none"/>
        </w:rPr>
        <w:t>（八）公告发布媒体</w:t>
      </w:r>
    </w:p>
    <w:p w14:paraId="0CE64AAD">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滁州学院网站、安徽省招投标信息网</w:t>
      </w:r>
    </w:p>
    <w:bookmarkEnd w:id="179"/>
    <w:p w14:paraId="48D0F959">
      <w:pPr>
        <w:pStyle w:val="95"/>
        <w:rPr>
          <w:rFonts w:hint="eastAsia" w:ascii="宋体" w:hAnsi="宋体" w:cs="宋体"/>
          <w:color w:val="auto"/>
          <w:szCs w:val="21"/>
          <w:highlight w:val="none"/>
        </w:rPr>
      </w:pPr>
    </w:p>
    <w:p w14:paraId="6ECB2E3F">
      <w:pPr>
        <w:pStyle w:val="95"/>
        <w:rPr>
          <w:rFonts w:hint="eastAsia" w:ascii="宋体" w:hAnsi="宋体" w:cs="宋体"/>
          <w:color w:val="auto"/>
          <w:szCs w:val="21"/>
          <w:highlight w:val="none"/>
        </w:rPr>
      </w:pPr>
    </w:p>
    <w:p w14:paraId="7FB66475">
      <w:pPr>
        <w:pStyle w:val="95"/>
        <w:rPr>
          <w:rFonts w:hint="eastAsia" w:ascii="宋体" w:hAnsi="宋体" w:cs="宋体"/>
          <w:color w:val="auto"/>
          <w:szCs w:val="21"/>
          <w:highlight w:val="none"/>
        </w:rPr>
      </w:pPr>
    </w:p>
    <w:p w14:paraId="7BEED863">
      <w:pPr>
        <w:pStyle w:val="95"/>
        <w:rPr>
          <w:rFonts w:hint="eastAsia" w:ascii="宋体" w:hAnsi="宋体" w:cs="宋体"/>
          <w:color w:val="auto"/>
          <w:szCs w:val="21"/>
          <w:highlight w:val="none"/>
        </w:rPr>
      </w:pPr>
    </w:p>
    <w:p w14:paraId="0155D8E4">
      <w:pPr>
        <w:pStyle w:val="95"/>
        <w:rPr>
          <w:rFonts w:hint="eastAsia" w:ascii="宋体" w:hAnsi="宋体" w:cs="宋体"/>
          <w:color w:val="auto"/>
          <w:szCs w:val="21"/>
          <w:highlight w:val="none"/>
        </w:rPr>
      </w:pPr>
    </w:p>
    <w:p w14:paraId="0146FA4C">
      <w:pPr>
        <w:pStyle w:val="95"/>
        <w:rPr>
          <w:rFonts w:hint="eastAsia" w:ascii="宋体" w:hAnsi="宋体" w:cs="宋体"/>
          <w:color w:val="auto"/>
          <w:szCs w:val="21"/>
          <w:highlight w:val="none"/>
        </w:rPr>
      </w:pPr>
    </w:p>
    <w:p w14:paraId="4F70CCC4">
      <w:pPr>
        <w:pStyle w:val="95"/>
        <w:rPr>
          <w:rFonts w:hint="eastAsia" w:ascii="宋体" w:hAnsi="宋体" w:cs="宋体"/>
          <w:color w:val="auto"/>
          <w:szCs w:val="21"/>
          <w:highlight w:val="none"/>
        </w:rPr>
      </w:pPr>
    </w:p>
    <w:p w14:paraId="4BA4D075">
      <w:pPr>
        <w:pStyle w:val="5"/>
        <w:spacing w:before="156" w:beforeLines="50" w:after="156" w:afterLines="50" w:line="440" w:lineRule="exact"/>
        <w:jc w:val="center"/>
        <w:rPr>
          <w:rFonts w:hint="eastAsia" w:ascii="宋体" w:hAnsi="宋体" w:cs="宋体"/>
          <w:b/>
          <w:color w:val="auto"/>
          <w:sz w:val="32"/>
          <w:szCs w:val="32"/>
          <w:highlight w:val="none"/>
        </w:rPr>
      </w:pPr>
      <w:bookmarkStart w:id="1" w:name="_Toc519783881"/>
      <w:r>
        <w:rPr>
          <w:rFonts w:hint="eastAsia" w:ascii="宋体" w:hAnsi="宋体" w:cs="宋体"/>
          <w:b/>
          <w:color w:val="auto"/>
          <w:sz w:val="32"/>
          <w:szCs w:val="32"/>
          <w:highlight w:val="none"/>
        </w:rPr>
        <w:t>二  磋商须知前附表</w:t>
      </w:r>
      <w:bookmarkEnd w:id="1"/>
    </w:p>
    <w:tbl>
      <w:tblPr>
        <w:tblStyle w:val="35"/>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815"/>
        <w:gridCol w:w="7905"/>
      </w:tblGrid>
      <w:tr w14:paraId="5DC12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20" w:type="dxa"/>
            <w:noWrap w:val="0"/>
            <w:vAlign w:val="center"/>
          </w:tcPr>
          <w:p w14:paraId="1D37B751">
            <w:pPr>
              <w:spacing w:line="44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815" w:type="dxa"/>
            <w:noWrap w:val="0"/>
            <w:vAlign w:val="center"/>
          </w:tcPr>
          <w:p w14:paraId="01E11AF9">
            <w:pPr>
              <w:spacing w:line="44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内容</w:t>
            </w:r>
          </w:p>
        </w:tc>
        <w:tc>
          <w:tcPr>
            <w:tcW w:w="7905" w:type="dxa"/>
            <w:noWrap w:val="0"/>
            <w:vAlign w:val="center"/>
          </w:tcPr>
          <w:p w14:paraId="723EEAAA">
            <w:pPr>
              <w:pStyle w:val="90"/>
              <w:widowControl w:val="0"/>
              <w:spacing w:before="0" w:beforeAutospacing="0" w:after="0" w:afterAutospacing="0" w:line="440" w:lineRule="exact"/>
              <w:rPr>
                <w:rFonts w:hint="eastAsia" w:eastAsia="宋体" w:cs="宋体"/>
                <w:bCs w:val="0"/>
                <w:color w:val="auto"/>
                <w:kern w:val="2"/>
                <w:sz w:val="21"/>
                <w:szCs w:val="21"/>
                <w:highlight w:val="none"/>
              </w:rPr>
            </w:pPr>
            <w:r>
              <w:rPr>
                <w:rFonts w:hint="eastAsia" w:eastAsia="宋体" w:cs="宋体"/>
                <w:bCs w:val="0"/>
                <w:color w:val="auto"/>
                <w:kern w:val="2"/>
                <w:sz w:val="21"/>
                <w:szCs w:val="21"/>
                <w:highlight w:val="none"/>
              </w:rPr>
              <w:t>说明与要求</w:t>
            </w:r>
          </w:p>
        </w:tc>
      </w:tr>
      <w:tr w14:paraId="0FFBD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20" w:type="dxa"/>
            <w:noWrap w:val="0"/>
            <w:vAlign w:val="center"/>
          </w:tcPr>
          <w:p w14:paraId="279BC0AF">
            <w:pPr>
              <w:spacing w:line="44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p>
        </w:tc>
        <w:tc>
          <w:tcPr>
            <w:tcW w:w="1815" w:type="dxa"/>
            <w:noWrap w:val="0"/>
            <w:vAlign w:val="center"/>
          </w:tcPr>
          <w:p w14:paraId="795AD162">
            <w:pPr>
              <w:spacing w:line="440" w:lineRule="exact"/>
              <w:jc w:val="center"/>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 xml:space="preserve">项目名称                              </w:t>
            </w:r>
          </w:p>
        </w:tc>
        <w:tc>
          <w:tcPr>
            <w:tcW w:w="7905" w:type="dxa"/>
            <w:noWrap w:val="0"/>
            <w:vAlign w:val="center"/>
          </w:tcPr>
          <w:p w14:paraId="13845E7D">
            <w:pPr>
              <w:pStyle w:val="90"/>
              <w:widowControl w:val="0"/>
              <w:spacing w:before="0" w:beforeAutospacing="0" w:after="0" w:afterAutospacing="0" w:line="440" w:lineRule="exact"/>
              <w:jc w:val="both"/>
              <w:rPr>
                <w:rFonts w:hint="eastAsia" w:eastAsia="宋体" w:cs="宋体"/>
                <w:b w:val="0"/>
                <w:bCs w:val="0"/>
                <w:color w:val="auto"/>
                <w:sz w:val="21"/>
                <w:szCs w:val="21"/>
                <w:highlight w:val="none"/>
              </w:rPr>
            </w:pPr>
            <w:r>
              <w:rPr>
                <w:rFonts w:hint="eastAsia" w:eastAsia="宋体" w:cs="宋体"/>
                <w:b w:val="0"/>
                <w:bCs w:val="0"/>
                <w:color w:val="auto"/>
                <w:kern w:val="2"/>
                <w:sz w:val="21"/>
                <w:szCs w:val="21"/>
                <w:highlight w:val="none"/>
                <w:lang w:eastAsia="zh-CN"/>
              </w:rPr>
              <w:t>滁州学院档案数字化服务项目（三期）及基建档案整理</w:t>
            </w:r>
            <w:r>
              <w:rPr>
                <w:rFonts w:hint="eastAsia" w:eastAsia="宋体" w:cs="宋体"/>
                <w:b w:val="0"/>
                <w:bCs w:val="0"/>
                <w:color w:val="auto"/>
                <w:kern w:val="2"/>
                <w:sz w:val="21"/>
                <w:szCs w:val="21"/>
                <w:highlight w:val="none"/>
              </w:rPr>
              <w:t xml:space="preserve"> </w:t>
            </w:r>
          </w:p>
        </w:tc>
      </w:tr>
      <w:tr w14:paraId="65872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720" w:type="dxa"/>
            <w:noWrap w:val="0"/>
            <w:vAlign w:val="center"/>
          </w:tcPr>
          <w:p w14:paraId="607E8368">
            <w:pPr>
              <w:spacing w:line="44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p>
        </w:tc>
        <w:tc>
          <w:tcPr>
            <w:tcW w:w="1815" w:type="dxa"/>
            <w:noWrap w:val="0"/>
            <w:vAlign w:val="center"/>
          </w:tcPr>
          <w:p w14:paraId="07623EE7">
            <w:pPr>
              <w:spacing w:line="44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项目编号</w:t>
            </w:r>
          </w:p>
        </w:tc>
        <w:tc>
          <w:tcPr>
            <w:tcW w:w="7905" w:type="dxa"/>
            <w:noWrap w:val="0"/>
            <w:vAlign w:val="center"/>
          </w:tcPr>
          <w:p w14:paraId="19EB4E40">
            <w:pPr>
              <w:autoSpaceDE w:val="0"/>
              <w:autoSpaceDN w:val="0"/>
              <w:adjustRightInd w:val="0"/>
              <w:spacing w:line="44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2024CG-0</w:t>
            </w:r>
            <w:r>
              <w:rPr>
                <w:rFonts w:hint="eastAsia" w:ascii="宋体" w:hAnsi="宋体" w:eastAsia="宋体" w:cs="宋体"/>
                <w:color w:val="auto"/>
                <w:szCs w:val="21"/>
                <w:highlight w:val="none"/>
                <w:lang w:val="en-US" w:eastAsia="zh-CN"/>
              </w:rPr>
              <w:t>38</w:t>
            </w:r>
          </w:p>
        </w:tc>
      </w:tr>
      <w:tr w14:paraId="2BC6B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20" w:type="dxa"/>
            <w:noWrap w:val="0"/>
            <w:vAlign w:val="center"/>
          </w:tcPr>
          <w:p w14:paraId="09DD8E5E">
            <w:pPr>
              <w:spacing w:line="44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w:t>
            </w:r>
          </w:p>
        </w:tc>
        <w:tc>
          <w:tcPr>
            <w:tcW w:w="1815" w:type="dxa"/>
            <w:noWrap w:val="0"/>
            <w:vAlign w:val="center"/>
          </w:tcPr>
          <w:p w14:paraId="1748A631">
            <w:pPr>
              <w:spacing w:line="44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采购人</w:t>
            </w:r>
          </w:p>
        </w:tc>
        <w:tc>
          <w:tcPr>
            <w:tcW w:w="7905" w:type="dxa"/>
            <w:noWrap w:val="0"/>
            <w:vAlign w:val="center"/>
          </w:tcPr>
          <w:p w14:paraId="4FF39528">
            <w:pPr>
              <w:pStyle w:val="90"/>
              <w:widowControl w:val="0"/>
              <w:spacing w:before="0" w:beforeAutospacing="0" w:after="0" w:afterAutospacing="0" w:line="440" w:lineRule="exact"/>
              <w:jc w:val="both"/>
              <w:rPr>
                <w:rFonts w:hint="eastAsia" w:eastAsia="宋体" w:cs="宋体"/>
                <w:b w:val="0"/>
                <w:bCs w:val="0"/>
                <w:color w:val="auto"/>
                <w:kern w:val="2"/>
                <w:sz w:val="21"/>
                <w:szCs w:val="21"/>
                <w:highlight w:val="none"/>
              </w:rPr>
            </w:pPr>
            <w:r>
              <w:rPr>
                <w:rFonts w:hint="eastAsia" w:eastAsia="宋体" w:cs="宋体"/>
                <w:b w:val="0"/>
                <w:bCs w:val="0"/>
                <w:color w:val="auto"/>
                <w:kern w:val="2"/>
                <w:sz w:val="21"/>
                <w:szCs w:val="21"/>
                <w:highlight w:val="none"/>
              </w:rPr>
              <w:t>名称：滁州学院资产与实验室管理处</w:t>
            </w:r>
          </w:p>
          <w:p w14:paraId="28318E10">
            <w:pPr>
              <w:autoSpaceDE w:val="0"/>
              <w:autoSpaceDN w:val="0"/>
              <w:adjustRightInd w:val="0"/>
              <w:spacing w:line="4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地址：安徽省滁州市会峰西路1号滁州学院会峰校区 </w:t>
            </w:r>
          </w:p>
          <w:p w14:paraId="157AA44E">
            <w:pPr>
              <w:autoSpaceDE w:val="0"/>
              <w:autoSpaceDN w:val="0"/>
              <w:adjustRightInd w:val="0"/>
              <w:spacing w:line="4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联系人：陈老师、</w:t>
            </w:r>
            <w:r>
              <w:rPr>
                <w:rFonts w:hint="eastAsia" w:ascii="宋体" w:hAnsi="宋体" w:eastAsia="宋体" w:cs="宋体"/>
                <w:color w:val="auto"/>
                <w:szCs w:val="21"/>
                <w:highlight w:val="none"/>
                <w:lang w:eastAsia="zh-CN"/>
              </w:rPr>
              <w:t>王</w:t>
            </w:r>
            <w:r>
              <w:rPr>
                <w:rFonts w:hint="eastAsia" w:ascii="宋体" w:hAnsi="宋体" w:eastAsia="宋体" w:cs="宋体"/>
                <w:color w:val="auto"/>
                <w:szCs w:val="21"/>
                <w:highlight w:val="none"/>
              </w:rPr>
              <w:t>老师</w:t>
            </w:r>
          </w:p>
          <w:p w14:paraId="144AB590">
            <w:pPr>
              <w:autoSpaceDE w:val="0"/>
              <w:autoSpaceDN w:val="0"/>
              <w:adjustRightInd w:val="0"/>
              <w:spacing w:line="4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电话： </w:t>
            </w:r>
            <w:r>
              <w:rPr>
                <w:rFonts w:hint="eastAsia" w:ascii="宋体" w:hAnsi="宋体" w:eastAsia="宋体" w:cs="宋体"/>
                <w:color w:val="auto"/>
                <w:szCs w:val="21"/>
                <w:highlight w:val="none"/>
                <w:u w:val="none" w:color="000000"/>
              </w:rPr>
              <w:t>0550-3512003、15855097225</w:t>
            </w:r>
          </w:p>
        </w:tc>
      </w:tr>
      <w:tr w14:paraId="39A64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20" w:type="dxa"/>
            <w:noWrap w:val="0"/>
            <w:vAlign w:val="center"/>
          </w:tcPr>
          <w:p w14:paraId="2149C1A1">
            <w:pPr>
              <w:spacing w:line="44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w:t>
            </w:r>
          </w:p>
        </w:tc>
        <w:tc>
          <w:tcPr>
            <w:tcW w:w="1815" w:type="dxa"/>
            <w:noWrap w:val="0"/>
            <w:vAlign w:val="center"/>
          </w:tcPr>
          <w:p w14:paraId="4E53BD8F">
            <w:pPr>
              <w:spacing w:line="440" w:lineRule="exact"/>
              <w:jc w:val="center"/>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采购代理机构</w:t>
            </w:r>
          </w:p>
        </w:tc>
        <w:tc>
          <w:tcPr>
            <w:tcW w:w="7905" w:type="dxa"/>
            <w:noWrap w:val="0"/>
            <w:vAlign w:val="center"/>
          </w:tcPr>
          <w:p w14:paraId="3AB442AF">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名称：安徽立地工程咨询有限公司</w:t>
            </w:r>
          </w:p>
          <w:p w14:paraId="33E8D335">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地址：滁州市丰乐大道1899号皖东国际车城A区写字楼A6栋3楼</w:t>
            </w:r>
          </w:p>
          <w:p w14:paraId="359B9651">
            <w:pPr>
              <w:spacing w:line="4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联系人：全晨曦</w:t>
            </w:r>
          </w:p>
          <w:p w14:paraId="23F2077D">
            <w:pPr>
              <w:spacing w:line="4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电话：18075270227、13965950189</w:t>
            </w:r>
          </w:p>
        </w:tc>
      </w:tr>
      <w:tr w14:paraId="73D7A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20" w:type="dxa"/>
            <w:noWrap w:val="0"/>
            <w:vAlign w:val="center"/>
          </w:tcPr>
          <w:p w14:paraId="56306496">
            <w:pPr>
              <w:spacing w:line="44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w:t>
            </w:r>
          </w:p>
        </w:tc>
        <w:tc>
          <w:tcPr>
            <w:tcW w:w="1815" w:type="dxa"/>
            <w:noWrap w:val="0"/>
            <w:vAlign w:val="center"/>
          </w:tcPr>
          <w:p w14:paraId="6B5973CA">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供应商资质</w:t>
            </w:r>
          </w:p>
        </w:tc>
        <w:tc>
          <w:tcPr>
            <w:tcW w:w="7905" w:type="dxa"/>
            <w:noWrap w:val="0"/>
            <w:vAlign w:val="center"/>
          </w:tcPr>
          <w:p w14:paraId="5ECCF0CB">
            <w:pPr>
              <w:pStyle w:val="90"/>
              <w:widowControl w:val="0"/>
              <w:numPr>
                <w:ilvl w:val="0"/>
                <w:numId w:val="4"/>
              </w:numPr>
              <w:spacing w:before="0" w:beforeAutospacing="0" w:after="0" w:afterAutospacing="0" w:line="440" w:lineRule="exact"/>
              <w:jc w:val="both"/>
              <w:rPr>
                <w:rFonts w:hint="eastAsia" w:eastAsia="宋体" w:cs="宋体"/>
                <w:b w:val="0"/>
                <w:bCs w:val="0"/>
                <w:color w:val="auto"/>
                <w:kern w:val="2"/>
                <w:sz w:val="21"/>
                <w:szCs w:val="21"/>
                <w:highlight w:val="none"/>
              </w:rPr>
            </w:pPr>
            <w:r>
              <w:rPr>
                <w:rFonts w:hint="eastAsia" w:eastAsia="宋体" w:cs="宋体"/>
                <w:b w:val="0"/>
                <w:bCs w:val="0"/>
                <w:color w:val="auto"/>
                <w:kern w:val="2"/>
                <w:sz w:val="21"/>
                <w:szCs w:val="21"/>
                <w:highlight w:val="none"/>
              </w:rPr>
              <w:t>供应商必须具有承担民事责任能力，且具有有效的营业执照（或三证合一有效证件）；</w:t>
            </w:r>
          </w:p>
          <w:p w14:paraId="785B4C55">
            <w:pPr>
              <w:pStyle w:val="90"/>
              <w:widowControl w:val="0"/>
              <w:spacing w:before="0" w:beforeAutospacing="0" w:after="0" w:afterAutospacing="0" w:line="440" w:lineRule="exact"/>
              <w:jc w:val="both"/>
              <w:rPr>
                <w:rFonts w:hint="eastAsia" w:eastAsia="宋体" w:cs="宋体"/>
                <w:b w:val="0"/>
                <w:bCs w:val="0"/>
                <w:color w:val="auto"/>
                <w:kern w:val="2"/>
                <w:sz w:val="21"/>
                <w:szCs w:val="21"/>
                <w:highlight w:val="none"/>
              </w:rPr>
            </w:pPr>
            <w:r>
              <w:rPr>
                <w:rFonts w:hint="eastAsia" w:eastAsia="宋体" w:cs="宋体"/>
                <w:b w:val="0"/>
                <w:bCs w:val="0"/>
                <w:color w:val="auto"/>
                <w:kern w:val="2"/>
                <w:sz w:val="21"/>
                <w:szCs w:val="21"/>
                <w:highlight w:val="none"/>
                <w:lang w:val="en-US" w:eastAsia="zh-CN"/>
              </w:rPr>
              <w:t>2</w:t>
            </w:r>
            <w:r>
              <w:rPr>
                <w:rFonts w:hint="eastAsia" w:eastAsia="宋体" w:cs="宋体"/>
                <w:b w:val="0"/>
                <w:bCs w:val="0"/>
                <w:color w:val="auto"/>
                <w:kern w:val="2"/>
                <w:sz w:val="21"/>
                <w:szCs w:val="21"/>
                <w:highlight w:val="none"/>
              </w:rPr>
              <w:t>、本项目不接受联合体；</w:t>
            </w:r>
          </w:p>
          <w:p w14:paraId="774B3A9D">
            <w:pPr>
              <w:pStyle w:val="90"/>
              <w:widowControl w:val="0"/>
              <w:spacing w:before="0" w:beforeAutospacing="0" w:after="0" w:afterAutospacing="0" w:line="440" w:lineRule="exact"/>
              <w:jc w:val="both"/>
              <w:rPr>
                <w:rFonts w:hint="eastAsia" w:eastAsia="宋体" w:cs="宋体"/>
                <w:b w:val="0"/>
                <w:bCs w:val="0"/>
                <w:color w:val="auto"/>
                <w:kern w:val="2"/>
                <w:sz w:val="21"/>
                <w:szCs w:val="21"/>
                <w:highlight w:val="none"/>
              </w:rPr>
            </w:pPr>
            <w:r>
              <w:rPr>
                <w:rFonts w:hint="eastAsia" w:eastAsia="宋体" w:cs="宋体"/>
                <w:b w:val="0"/>
                <w:bCs w:val="0"/>
                <w:color w:val="auto"/>
                <w:kern w:val="2"/>
                <w:sz w:val="21"/>
                <w:szCs w:val="21"/>
                <w:highlight w:val="none"/>
                <w:lang w:val="en-US" w:eastAsia="zh-CN"/>
              </w:rPr>
              <w:t>3</w:t>
            </w:r>
            <w:r>
              <w:rPr>
                <w:rFonts w:hint="eastAsia" w:eastAsia="宋体" w:cs="宋体"/>
                <w:b w:val="0"/>
                <w:bCs w:val="0"/>
                <w:color w:val="auto"/>
                <w:kern w:val="2"/>
                <w:sz w:val="21"/>
                <w:szCs w:val="21"/>
                <w:highlight w:val="none"/>
              </w:rPr>
              <w:t>、信誉要求：供应商不得存在以下情形：</w:t>
            </w:r>
          </w:p>
          <w:p w14:paraId="05AAEF50">
            <w:pPr>
              <w:pStyle w:val="90"/>
              <w:widowControl w:val="0"/>
              <w:spacing w:before="0" w:beforeAutospacing="0" w:after="0" w:afterAutospacing="0" w:line="440" w:lineRule="exact"/>
              <w:jc w:val="both"/>
              <w:rPr>
                <w:rFonts w:hint="eastAsia" w:eastAsia="宋体" w:cs="宋体"/>
                <w:b w:val="0"/>
                <w:bCs w:val="0"/>
                <w:color w:val="auto"/>
                <w:kern w:val="2"/>
                <w:sz w:val="21"/>
                <w:szCs w:val="21"/>
                <w:highlight w:val="none"/>
              </w:rPr>
            </w:pPr>
            <w:r>
              <w:rPr>
                <w:rFonts w:hint="eastAsia" w:eastAsia="宋体" w:cs="宋体"/>
                <w:b w:val="0"/>
                <w:bCs w:val="0"/>
                <w:color w:val="auto"/>
                <w:kern w:val="2"/>
                <w:sz w:val="21"/>
                <w:szCs w:val="21"/>
                <w:highlight w:val="none"/>
              </w:rPr>
              <w:t>①供应商被人民法院列入失信被执行人的；</w:t>
            </w:r>
          </w:p>
          <w:p w14:paraId="11CB3815">
            <w:pPr>
              <w:pStyle w:val="90"/>
              <w:widowControl w:val="0"/>
              <w:spacing w:before="0" w:beforeAutospacing="0" w:after="0" w:afterAutospacing="0" w:line="440" w:lineRule="exact"/>
              <w:jc w:val="both"/>
              <w:rPr>
                <w:rFonts w:hint="eastAsia" w:eastAsia="宋体" w:cs="宋体"/>
                <w:b w:val="0"/>
                <w:bCs w:val="0"/>
                <w:color w:val="auto"/>
                <w:kern w:val="2"/>
                <w:sz w:val="21"/>
                <w:szCs w:val="21"/>
                <w:highlight w:val="none"/>
              </w:rPr>
            </w:pPr>
            <w:r>
              <w:rPr>
                <w:rFonts w:hint="eastAsia" w:eastAsia="宋体" w:cs="宋体"/>
                <w:b w:val="0"/>
                <w:bCs w:val="0"/>
                <w:color w:val="auto"/>
                <w:kern w:val="2"/>
                <w:sz w:val="21"/>
                <w:szCs w:val="21"/>
                <w:highlight w:val="none"/>
              </w:rPr>
              <w:t>②供应商或其法定代表人被人民检察院列入行贿犯罪档案的；</w:t>
            </w:r>
          </w:p>
          <w:p w14:paraId="2114333E">
            <w:pPr>
              <w:pStyle w:val="90"/>
              <w:widowControl w:val="0"/>
              <w:spacing w:before="0" w:beforeAutospacing="0" w:after="0" w:afterAutospacing="0" w:line="440" w:lineRule="exact"/>
              <w:jc w:val="both"/>
              <w:rPr>
                <w:rFonts w:hint="eastAsia" w:eastAsia="宋体" w:cs="宋体"/>
                <w:b w:val="0"/>
                <w:bCs w:val="0"/>
                <w:color w:val="auto"/>
                <w:kern w:val="2"/>
                <w:sz w:val="21"/>
                <w:szCs w:val="21"/>
                <w:highlight w:val="none"/>
              </w:rPr>
            </w:pPr>
            <w:r>
              <w:rPr>
                <w:rFonts w:hint="eastAsia" w:eastAsia="宋体" w:cs="宋体"/>
                <w:b w:val="0"/>
                <w:bCs w:val="0"/>
                <w:color w:val="auto"/>
                <w:kern w:val="2"/>
                <w:sz w:val="21"/>
                <w:szCs w:val="21"/>
                <w:highlight w:val="none"/>
              </w:rPr>
              <w:t>③供应商被市场监督管理部门列入经营异常名录或者严重违法企业名单的；</w:t>
            </w:r>
          </w:p>
          <w:p w14:paraId="43D3AA70">
            <w:pPr>
              <w:pStyle w:val="90"/>
              <w:widowControl w:val="0"/>
              <w:spacing w:before="0" w:beforeAutospacing="0" w:after="0" w:afterAutospacing="0" w:line="440" w:lineRule="exact"/>
              <w:jc w:val="both"/>
              <w:rPr>
                <w:rFonts w:hint="eastAsia" w:eastAsia="宋体" w:cs="宋体"/>
                <w:b w:val="0"/>
                <w:bCs w:val="0"/>
                <w:color w:val="auto"/>
                <w:kern w:val="2"/>
                <w:sz w:val="21"/>
                <w:szCs w:val="21"/>
                <w:highlight w:val="none"/>
              </w:rPr>
            </w:pPr>
            <w:r>
              <w:rPr>
                <w:rFonts w:hint="eastAsia" w:eastAsia="宋体" w:cs="宋体"/>
                <w:b w:val="0"/>
                <w:bCs w:val="0"/>
                <w:color w:val="auto"/>
                <w:kern w:val="2"/>
                <w:sz w:val="21"/>
                <w:szCs w:val="21"/>
                <w:highlight w:val="none"/>
              </w:rPr>
              <w:t>④供应商被税收部门列入重大税收违法案件当事人的；</w:t>
            </w:r>
          </w:p>
          <w:p w14:paraId="08B123D7">
            <w:pPr>
              <w:pStyle w:val="90"/>
              <w:widowControl w:val="0"/>
              <w:spacing w:before="0" w:beforeAutospacing="0" w:after="0" w:afterAutospacing="0" w:line="440" w:lineRule="exact"/>
              <w:jc w:val="both"/>
              <w:rPr>
                <w:rFonts w:hint="eastAsia" w:eastAsia="宋体" w:cs="宋体"/>
                <w:b w:val="0"/>
                <w:bCs w:val="0"/>
                <w:color w:val="auto"/>
                <w:kern w:val="2"/>
                <w:sz w:val="21"/>
                <w:szCs w:val="21"/>
                <w:highlight w:val="none"/>
              </w:rPr>
            </w:pPr>
            <w:r>
              <w:rPr>
                <w:rFonts w:hint="eastAsia" w:eastAsia="宋体" w:cs="宋体"/>
                <w:b w:val="0"/>
                <w:bCs w:val="0"/>
                <w:color w:val="auto"/>
                <w:kern w:val="2"/>
                <w:sz w:val="21"/>
                <w:szCs w:val="21"/>
                <w:highlight w:val="none"/>
              </w:rPr>
              <w:t>⑤供应商被采购监管部门列入采购严重违法失信行为记录名单的；</w:t>
            </w:r>
          </w:p>
          <w:p w14:paraId="3E3C525A">
            <w:pPr>
              <w:pStyle w:val="90"/>
              <w:widowControl w:val="0"/>
              <w:spacing w:before="0" w:beforeAutospacing="0" w:after="0" w:afterAutospacing="0" w:line="440" w:lineRule="exact"/>
              <w:jc w:val="both"/>
              <w:rPr>
                <w:rFonts w:hint="eastAsia" w:eastAsia="宋体" w:cs="宋体"/>
                <w:b w:val="0"/>
                <w:bCs w:val="0"/>
                <w:color w:val="auto"/>
                <w:kern w:val="2"/>
                <w:sz w:val="21"/>
                <w:szCs w:val="21"/>
                <w:highlight w:val="none"/>
              </w:rPr>
            </w:pPr>
            <w:r>
              <w:rPr>
                <w:rFonts w:hint="eastAsia" w:eastAsia="宋体" w:cs="宋体"/>
                <w:b w:val="0"/>
                <w:bCs w:val="0"/>
                <w:color w:val="auto"/>
                <w:kern w:val="2"/>
                <w:sz w:val="21"/>
                <w:szCs w:val="21"/>
                <w:highlight w:val="none"/>
              </w:rPr>
              <w:t>⑥在“信用中国”网站上披露仍在公示期的严重失信行为的；</w:t>
            </w:r>
          </w:p>
          <w:p w14:paraId="6F6A85E1">
            <w:pPr>
              <w:pStyle w:val="90"/>
              <w:widowControl w:val="0"/>
              <w:spacing w:before="0" w:beforeAutospacing="0" w:after="0" w:afterAutospacing="0" w:line="440" w:lineRule="exact"/>
              <w:jc w:val="both"/>
              <w:rPr>
                <w:rFonts w:hint="eastAsia" w:eastAsia="宋体" w:cs="宋体"/>
                <w:b w:val="0"/>
                <w:bCs w:val="0"/>
                <w:color w:val="auto"/>
                <w:kern w:val="2"/>
                <w:sz w:val="21"/>
                <w:szCs w:val="21"/>
                <w:highlight w:val="none"/>
              </w:rPr>
            </w:pPr>
            <w:r>
              <w:rPr>
                <w:rFonts w:hint="eastAsia" w:eastAsia="宋体" w:cs="宋体"/>
                <w:b w:val="0"/>
                <w:bCs w:val="0"/>
                <w:color w:val="auto"/>
                <w:kern w:val="2"/>
                <w:sz w:val="21"/>
                <w:szCs w:val="21"/>
                <w:highlight w:val="none"/>
              </w:rPr>
              <w:t>⑦被滁州市县两级行业主管部门及公管部门禁止在一定期限内参加采购活动且在禁止期限内的；</w:t>
            </w:r>
          </w:p>
          <w:p w14:paraId="01A6166E">
            <w:pPr>
              <w:pStyle w:val="90"/>
              <w:widowControl w:val="0"/>
              <w:spacing w:before="0" w:beforeAutospacing="0" w:after="0" w:afterAutospacing="0" w:line="440" w:lineRule="exact"/>
              <w:jc w:val="both"/>
              <w:rPr>
                <w:rFonts w:hint="eastAsia" w:eastAsia="宋体" w:cs="宋体"/>
                <w:b w:val="0"/>
                <w:bCs w:val="0"/>
                <w:color w:val="auto"/>
                <w:kern w:val="2"/>
                <w:sz w:val="21"/>
                <w:szCs w:val="21"/>
                <w:highlight w:val="none"/>
              </w:rPr>
            </w:pPr>
            <w:r>
              <w:rPr>
                <w:rFonts w:hint="eastAsia" w:eastAsia="宋体" w:cs="宋体"/>
                <w:b w:val="0"/>
                <w:bCs w:val="0"/>
                <w:color w:val="auto"/>
                <w:kern w:val="2"/>
                <w:sz w:val="21"/>
                <w:szCs w:val="21"/>
                <w:highlight w:val="none"/>
              </w:rPr>
              <w:t>⑧被滁州市县两级公管部门记入不良行为记录或者信用信息记录，且在披露期内的；</w:t>
            </w:r>
          </w:p>
        </w:tc>
      </w:tr>
      <w:tr w14:paraId="2D4E6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20" w:type="dxa"/>
            <w:noWrap w:val="0"/>
            <w:vAlign w:val="center"/>
          </w:tcPr>
          <w:p w14:paraId="6A29FA48">
            <w:pPr>
              <w:spacing w:line="44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w:t>
            </w:r>
          </w:p>
        </w:tc>
        <w:tc>
          <w:tcPr>
            <w:tcW w:w="1815" w:type="dxa"/>
            <w:noWrap w:val="0"/>
            <w:vAlign w:val="center"/>
          </w:tcPr>
          <w:p w14:paraId="431D408A">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资金来源</w:t>
            </w:r>
          </w:p>
        </w:tc>
        <w:tc>
          <w:tcPr>
            <w:tcW w:w="7905" w:type="dxa"/>
            <w:noWrap w:val="0"/>
            <w:vAlign w:val="center"/>
          </w:tcPr>
          <w:p w14:paraId="78D4201D">
            <w:pPr>
              <w:pStyle w:val="90"/>
              <w:widowControl w:val="0"/>
              <w:spacing w:before="0" w:beforeAutospacing="0" w:after="0" w:afterAutospacing="0" w:line="440" w:lineRule="exact"/>
              <w:jc w:val="both"/>
              <w:rPr>
                <w:rFonts w:hint="eastAsia" w:eastAsia="宋体" w:cs="宋体"/>
                <w:b w:val="0"/>
                <w:bCs w:val="0"/>
                <w:color w:val="auto"/>
                <w:kern w:val="2"/>
                <w:sz w:val="21"/>
                <w:szCs w:val="21"/>
                <w:highlight w:val="none"/>
              </w:rPr>
            </w:pPr>
            <w:r>
              <w:rPr>
                <w:rFonts w:hint="eastAsia" w:eastAsia="宋体" w:cs="宋体"/>
                <w:b w:val="0"/>
                <w:bCs w:val="0"/>
                <w:color w:val="auto"/>
                <w:kern w:val="2"/>
                <w:sz w:val="21"/>
                <w:szCs w:val="21"/>
                <w:highlight w:val="none"/>
              </w:rPr>
              <w:sym w:font="Wingdings 2" w:char="0052"/>
            </w:r>
            <w:r>
              <w:rPr>
                <w:rFonts w:hint="eastAsia" w:eastAsia="宋体" w:cs="宋体"/>
                <w:b w:val="0"/>
                <w:bCs w:val="0"/>
                <w:color w:val="auto"/>
                <w:kern w:val="2"/>
                <w:sz w:val="21"/>
                <w:szCs w:val="21"/>
                <w:highlight w:val="none"/>
              </w:rPr>
              <w:t xml:space="preserve">财政投资  </w:t>
            </w:r>
            <w:r>
              <w:rPr>
                <w:rFonts w:hint="eastAsia" w:eastAsia="宋体" w:cs="宋体"/>
                <w:b w:val="0"/>
                <w:bCs w:val="0"/>
                <w:color w:val="auto"/>
                <w:kern w:val="2"/>
                <w:sz w:val="21"/>
                <w:szCs w:val="21"/>
                <w:highlight w:val="none"/>
              </w:rPr>
              <w:fldChar w:fldCharType="begin"/>
            </w:r>
            <w:r>
              <w:rPr>
                <w:rFonts w:hint="eastAsia" w:eastAsia="宋体" w:cs="宋体"/>
                <w:b w:val="0"/>
                <w:bCs w:val="0"/>
                <w:color w:val="auto"/>
                <w:kern w:val="2"/>
                <w:sz w:val="21"/>
                <w:szCs w:val="21"/>
                <w:highlight w:val="none"/>
              </w:rPr>
              <w:instrText xml:space="preserve"> eq \o\ac(</w:instrText>
            </w:r>
            <w:r>
              <w:rPr>
                <w:rFonts w:hint="eastAsia" w:eastAsia="宋体" w:cs="宋体"/>
                <w:b w:val="0"/>
                <w:bCs w:val="0"/>
                <w:color w:val="auto"/>
                <w:kern w:val="2"/>
                <w:position w:val="-4"/>
                <w:sz w:val="31"/>
                <w:szCs w:val="21"/>
                <w:highlight w:val="none"/>
              </w:rPr>
              <w:instrText xml:space="preserve">□</w:instrText>
            </w:r>
            <w:r>
              <w:rPr>
                <w:rFonts w:hint="eastAsia" w:eastAsia="宋体" w:cs="宋体"/>
                <w:b w:val="0"/>
                <w:bCs w:val="0"/>
                <w:color w:val="auto"/>
                <w:kern w:val="2"/>
                <w:sz w:val="21"/>
                <w:szCs w:val="21"/>
                <w:highlight w:val="none"/>
              </w:rPr>
              <w:instrText xml:space="preserve">)</w:instrText>
            </w:r>
            <w:r>
              <w:rPr>
                <w:rFonts w:hint="eastAsia" w:eastAsia="宋体" w:cs="宋体"/>
                <w:b w:val="0"/>
                <w:bCs w:val="0"/>
                <w:color w:val="auto"/>
                <w:kern w:val="2"/>
                <w:sz w:val="21"/>
                <w:szCs w:val="21"/>
                <w:highlight w:val="none"/>
              </w:rPr>
              <w:fldChar w:fldCharType="end"/>
            </w:r>
            <w:r>
              <w:rPr>
                <w:rFonts w:hint="eastAsia" w:eastAsia="宋体" w:cs="宋体"/>
                <w:b w:val="0"/>
                <w:bCs w:val="0"/>
                <w:color w:val="auto"/>
                <w:kern w:val="2"/>
                <w:sz w:val="21"/>
                <w:szCs w:val="21"/>
                <w:highlight w:val="none"/>
              </w:rPr>
              <w:t>采购人自筹   □其他</w:t>
            </w:r>
          </w:p>
        </w:tc>
      </w:tr>
      <w:tr w14:paraId="766ED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20" w:type="dxa"/>
            <w:noWrap w:val="0"/>
            <w:vAlign w:val="center"/>
          </w:tcPr>
          <w:p w14:paraId="4AE59DC1">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1815" w:type="dxa"/>
            <w:noWrap w:val="0"/>
            <w:vAlign w:val="top"/>
          </w:tcPr>
          <w:p w14:paraId="562DB447">
            <w:pPr>
              <w:spacing w:line="440" w:lineRule="exact"/>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标段划分</w:t>
            </w:r>
          </w:p>
        </w:tc>
        <w:tc>
          <w:tcPr>
            <w:tcW w:w="7905" w:type="dxa"/>
            <w:noWrap w:val="0"/>
            <w:vAlign w:val="center"/>
          </w:tcPr>
          <w:p w14:paraId="50C76C31">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□不分包    </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Cs w:val="21"/>
                <w:highlight w:val="none"/>
              </w:rPr>
              <w:instrText xml:space="preserve">√)</w:instrTex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分为1个包</w:t>
            </w:r>
          </w:p>
        </w:tc>
      </w:tr>
      <w:tr w14:paraId="18A0B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20" w:type="dxa"/>
            <w:noWrap w:val="0"/>
            <w:vAlign w:val="center"/>
          </w:tcPr>
          <w:p w14:paraId="70505733">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1815" w:type="dxa"/>
            <w:noWrap w:val="0"/>
            <w:vAlign w:val="center"/>
          </w:tcPr>
          <w:p w14:paraId="3DEBD4C7">
            <w:pPr>
              <w:spacing w:line="440" w:lineRule="exact"/>
              <w:jc w:val="center"/>
              <w:rPr>
                <w:rFonts w:hint="eastAsia" w:ascii="宋体" w:hAnsi="宋体" w:eastAsia="宋体" w:cs="宋体"/>
                <w:b/>
                <w:bCs/>
                <w:color w:val="auto"/>
                <w:szCs w:val="21"/>
                <w:highlight w:val="none"/>
                <w:lang w:val="zh-CN"/>
              </w:rPr>
            </w:pPr>
            <w:r>
              <w:rPr>
                <w:rFonts w:hint="eastAsia" w:ascii="宋体" w:hAnsi="宋体" w:eastAsia="宋体" w:cs="宋体"/>
                <w:b/>
                <w:color w:val="auto"/>
                <w:szCs w:val="21"/>
                <w:highlight w:val="none"/>
              </w:rPr>
              <w:t>付款方式</w:t>
            </w:r>
          </w:p>
        </w:tc>
        <w:tc>
          <w:tcPr>
            <w:tcW w:w="7905" w:type="dxa"/>
            <w:noWrap w:val="0"/>
            <w:vAlign w:val="center"/>
          </w:tcPr>
          <w:p w14:paraId="628FFD63">
            <w:pPr>
              <w:spacing w:line="440" w:lineRule="exact"/>
              <w:jc w:val="left"/>
              <w:rPr>
                <w:rFonts w:hint="eastAsia" w:ascii="宋体" w:hAnsi="宋体" w:eastAsia="宋体" w:cs="宋体"/>
                <w:b/>
                <w:bCs/>
                <w:color w:val="auto"/>
                <w:szCs w:val="21"/>
                <w:highlight w:val="none"/>
                <w:lang w:val="zh-CN"/>
              </w:rPr>
            </w:pPr>
            <w:r>
              <w:rPr>
                <w:rFonts w:hint="eastAsia" w:ascii="宋体" w:hAnsi="宋体" w:eastAsia="宋体" w:cs="宋体"/>
                <w:b/>
                <w:color w:val="auto"/>
                <w:szCs w:val="21"/>
                <w:highlight w:val="none"/>
                <w:lang w:val="zh-CN"/>
              </w:rPr>
              <w:t>合同签订</w:t>
            </w:r>
            <w:r>
              <w:rPr>
                <w:rFonts w:hint="eastAsia" w:ascii="宋体" w:hAnsi="宋体" w:eastAsia="宋体" w:cs="宋体"/>
                <w:b/>
                <w:color w:val="auto"/>
                <w:szCs w:val="21"/>
                <w:highlight w:val="none"/>
              </w:rPr>
              <w:t>后</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完成</w:t>
            </w:r>
            <w:r>
              <w:rPr>
                <w:rFonts w:hint="eastAsia" w:ascii="宋体" w:hAnsi="宋体" w:eastAsia="宋体" w:cs="宋体"/>
                <w:b/>
                <w:color w:val="auto"/>
                <w:szCs w:val="21"/>
                <w:highlight w:val="none"/>
                <w:lang w:eastAsia="zh-CN"/>
              </w:rPr>
              <w:t>所有档案数字化服务项</w:t>
            </w:r>
            <w:r>
              <w:rPr>
                <w:rFonts w:hint="eastAsia" w:ascii="宋体" w:hAnsi="宋体" w:eastAsia="宋体" w:cs="宋体"/>
                <w:b/>
                <w:color w:val="auto"/>
                <w:szCs w:val="21"/>
                <w:highlight w:val="none"/>
                <w:lang w:val="en-US" w:eastAsia="zh-CN"/>
              </w:rPr>
              <w:t>目</w:t>
            </w:r>
            <w:r>
              <w:rPr>
                <w:rFonts w:hint="eastAsia" w:ascii="宋体" w:hAnsi="宋体" w:eastAsia="宋体" w:cs="宋体"/>
                <w:b/>
                <w:color w:val="auto"/>
                <w:szCs w:val="21"/>
                <w:highlight w:val="none"/>
              </w:rPr>
              <w:t>，经验收合格后付全款</w:t>
            </w:r>
            <w:r>
              <w:rPr>
                <w:rFonts w:hint="eastAsia" w:ascii="宋体" w:hAnsi="宋体" w:eastAsia="宋体" w:cs="宋体"/>
                <w:b/>
                <w:color w:val="auto"/>
                <w:szCs w:val="21"/>
                <w:highlight w:val="none"/>
                <w:lang w:val="en-US" w:eastAsia="zh-CN"/>
              </w:rPr>
              <w:t>。</w:t>
            </w:r>
          </w:p>
        </w:tc>
      </w:tr>
      <w:tr w14:paraId="5A5D7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noWrap w:val="0"/>
            <w:vAlign w:val="center"/>
          </w:tcPr>
          <w:p w14:paraId="110D844C">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1815" w:type="dxa"/>
            <w:noWrap w:val="0"/>
            <w:vAlign w:val="center"/>
          </w:tcPr>
          <w:p w14:paraId="354D75C6">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联合体磋商</w:t>
            </w:r>
          </w:p>
        </w:tc>
        <w:tc>
          <w:tcPr>
            <w:tcW w:w="7905" w:type="dxa"/>
            <w:noWrap w:val="0"/>
            <w:vAlign w:val="center"/>
          </w:tcPr>
          <w:p w14:paraId="2D8334A7">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 xml:space="preserve">允许   </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szCs w:val="21"/>
                <w:highlight w:val="none"/>
              </w:rPr>
              <w:instrText xml:space="preserve">,√)</w:instrTex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不允许</w:t>
            </w:r>
          </w:p>
        </w:tc>
      </w:tr>
      <w:tr w14:paraId="015F5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20" w:type="dxa"/>
            <w:noWrap w:val="0"/>
            <w:vAlign w:val="center"/>
          </w:tcPr>
          <w:p w14:paraId="72A8C21B">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1815" w:type="dxa"/>
            <w:noWrap w:val="0"/>
            <w:vAlign w:val="center"/>
          </w:tcPr>
          <w:p w14:paraId="585C6981">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磋商有效期</w:t>
            </w:r>
          </w:p>
        </w:tc>
        <w:tc>
          <w:tcPr>
            <w:tcW w:w="7905" w:type="dxa"/>
            <w:noWrap w:val="0"/>
            <w:vAlign w:val="center"/>
          </w:tcPr>
          <w:p w14:paraId="6424301E">
            <w:pPr>
              <w:spacing w:line="4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60日历天（从提交响应文件截止之日算起）</w:t>
            </w:r>
          </w:p>
        </w:tc>
      </w:tr>
      <w:tr w14:paraId="55F3E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noWrap w:val="0"/>
            <w:vAlign w:val="center"/>
          </w:tcPr>
          <w:p w14:paraId="0A8C42FC">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1815" w:type="dxa"/>
            <w:noWrap w:val="0"/>
            <w:vAlign w:val="center"/>
          </w:tcPr>
          <w:p w14:paraId="651FD253">
            <w:pPr>
              <w:pStyle w:val="17"/>
              <w:spacing w:line="440" w:lineRule="exact"/>
              <w:jc w:val="center"/>
              <w:rPr>
                <w:rFonts w:hint="eastAsia" w:hAnsi="宋体" w:eastAsia="宋体" w:cs="宋体"/>
                <w:b/>
                <w:bCs/>
                <w:color w:val="auto"/>
                <w:highlight w:val="none"/>
              </w:rPr>
            </w:pPr>
            <w:r>
              <w:rPr>
                <w:rFonts w:hint="eastAsia" w:hAnsi="宋体" w:eastAsia="宋体" w:cs="宋体"/>
                <w:color w:val="auto"/>
                <w:kern w:val="0"/>
                <w:highlight w:val="none"/>
                <w:u w:val="none" w:color="000000"/>
                <w:shd w:val="clear" w:color="auto" w:fill="FFFFFF"/>
              </w:rPr>
              <w:t>合同履行期限</w:t>
            </w:r>
          </w:p>
        </w:tc>
        <w:tc>
          <w:tcPr>
            <w:tcW w:w="7905" w:type="dxa"/>
            <w:noWrap w:val="0"/>
            <w:vAlign w:val="center"/>
          </w:tcPr>
          <w:p w14:paraId="5CB25A50">
            <w:pPr>
              <w:pStyle w:val="13"/>
              <w:spacing w:line="440" w:lineRule="exact"/>
              <w:rPr>
                <w:rFonts w:hint="eastAsia" w:ascii="宋体" w:hAnsi="宋体" w:eastAsia="宋体" w:cs="宋体"/>
                <w:b/>
                <w:bCs/>
                <w:color w:val="auto"/>
                <w:szCs w:val="21"/>
                <w:highlight w:val="none"/>
              </w:rPr>
            </w:pPr>
            <w:r>
              <w:rPr>
                <w:rFonts w:hint="eastAsia" w:ascii="宋体" w:hAnsi="宋体" w:eastAsia="宋体" w:cs="宋体"/>
                <w:color w:val="auto"/>
                <w:kern w:val="2"/>
                <w:sz w:val="21"/>
                <w:szCs w:val="21"/>
                <w:highlight w:val="none"/>
                <w:lang w:val="en-US" w:eastAsia="zh-CN" w:bidi="ar-SA"/>
              </w:rPr>
              <w:t>签订合同后120个日历天供货安装完毕。</w:t>
            </w:r>
          </w:p>
        </w:tc>
      </w:tr>
      <w:tr w14:paraId="0F4A0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20" w:type="dxa"/>
            <w:noWrap w:val="0"/>
            <w:vAlign w:val="center"/>
          </w:tcPr>
          <w:p w14:paraId="626E0780">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1815" w:type="dxa"/>
            <w:noWrap w:val="0"/>
            <w:vAlign w:val="center"/>
          </w:tcPr>
          <w:p w14:paraId="4113A842">
            <w:pPr>
              <w:spacing w:line="440" w:lineRule="exact"/>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磋商保证金金额</w:t>
            </w:r>
          </w:p>
        </w:tc>
        <w:tc>
          <w:tcPr>
            <w:tcW w:w="7905" w:type="dxa"/>
            <w:noWrap w:val="0"/>
            <w:vAlign w:val="center"/>
          </w:tcPr>
          <w:p w14:paraId="39EB8030">
            <w:pPr>
              <w:pStyle w:val="15"/>
              <w:spacing w:after="0" w:line="4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本项目不采用</w:t>
            </w:r>
          </w:p>
        </w:tc>
      </w:tr>
      <w:tr w14:paraId="5CE9D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20" w:type="dxa"/>
            <w:noWrap w:val="0"/>
            <w:vAlign w:val="center"/>
          </w:tcPr>
          <w:p w14:paraId="3C7FECCE">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1815" w:type="dxa"/>
            <w:noWrap w:val="0"/>
            <w:vAlign w:val="center"/>
          </w:tcPr>
          <w:p w14:paraId="7610C70B">
            <w:pPr>
              <w:spacing w:line="440" w:lineRule="exact"/>
              <w:jc w:val="center"/>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质疑和答疑</w:t>
            </w:r>
          </w:p>
        </w:tc>
        <w:tc>
          <w:tcPr>
            <w:tcW w:w="7905" w:type="dxa"/>
            <w:noWrap w:val="0"/>
            <w:vAlign w:val="center"/>
          </w:tcPr>
          <w:p w14:paraId="3A9FF1C5">
            <w:pPr>
              <w:spacing w:line="440" w:lineRule="exact"/>
              <w:jc w:val="left"/>
              <w:rPr>
                <w:rFonts w:hint="eastAsia" w:ascii="宋体" w:hAnsi="宋体" w:eastAsia="宋体" w:cs="宋体"/>
                <w:b/>
                <w:bCs/>
                <w:color w:val="auto"/>
                <w:szCs w:val="21"/>
                <w:highlight w:val="none"/>
              </w:rPr>
            </w:pPr>
            <w:r>
              <w:rPr>
                <w:rFonts w:hint="eastAsia" w:ascii="宋体" w:hAnsi="宋体" w:eastAsia="宋体" w:cs="宋体"/>
                <w:bCs/>
                <w:color w:val="auto"/>
                <w:szCs w:val="21"/>
                <w:highlight w:val="none"/>
              </w:rPr>
              <w:t>请于</w:t>
            </w:r>
            <w:r>
              <w:rPr>
                <w:rFonts w:hint="eastAsia" w:ascii="宋体" w:hAnsi="宋体" w:eastAsia="宋体" w:cs="宋体"/>
                <w:b/>
                <w:color w:val="auto"/>
                <w:szCs w:val="21"/>
                <w:highlight w:val="none"/>
              </w:rPr>
              <w:t>2024年</w:t>
            </w:r>
            <w:r>
              <w:rPr>
                <w:rFonts w:hint="eastAsia" w:ascii="宋体" w:hAnsi="宋体" w:cs="宋体"/>
                <w:b/>
                <w:color w:val="auto"/>
                <w:szCs w:val="21"/>
                <w:highlight w:val="none"/>
                <w:lang w:val="en-US" w:eastAsia="zh-CN"/>
              </w:rPr>
              <w:t>08</w:t>
            </w:r>
            <w:r>
              <w:rPr>
                <w:rFonts w:hint="eastAsia" w:ascii="宋体" w:hAnsi="宋体" w:eastAsia="宋体" w:cs="宋体"/>
                <w:b/>
                <w:color w:val="auto"/>
                <w:szCs w:val="21"/>
                <w:highlight w:val="none"/>
              </w:rPr>
              <w:t>月</w:t>
            </w:r>
            <w:r>
              <w:rPr>
                <w:rFonts w:hint="eastAsia" w:ascii="宋体" w:hAnsi="宋体" w:cs="宋体"/>
                <w:b/>
                <w:color w:val="auto"/>
                <w:szCs w:val="21"/>
                <w:highlight w:val="none"/>
                <w:lang w:val="en-US" w:eastAsia="zh-CN"/>
              </w:rPr>
              <w:t>18</w:t>
            </w:r>
            <w:r>
              <w:rPr>
                <w:rFonts w:hint="eastAsia" w:ascii="宋体" w:hAnsi="宋体" w:eastAsia="宋体" w:cs="宋体"/>
                <w:b/>
                <w:color w:val="auto"/>
                <w:szCs w:val="21"/>
                <w:highlight w:val="none"/>
              </w:rPr>
              <w:fldChar w:fldCharType="begin"/>
            </w:r>
            <w:r>
              <w:rPr>
                <w:rFonts w:hint="eastAsia" w:ascii="宋体" w:hAnsi="宋体" w:eastAsia="宋体" w:cs="宋体"/>
                <w:b/>
                <w:color w:val="auto"/>
                <w:szCs w:val="21"/>
                <w:highlight w:val="none"/>
              </w:rPr>
              <w:instrText xml:space="preserve"> HYPERLINK "mailto:日17时前，将疑问以书面形式（加盖公章）送至滁州学院资产与设备处（会峰校区行政楼220）或以邮件的形式发送至(909873365@qq.com)邮箱，采购人将在2020年" </w:instrText>
            </w:r>
            <w:r>
              <w:rPr>
                <w:rFonts w:hint="eastAsia" w:ascii="宋体" w:hAnsi="宋体" w:eastAsia="宋体" w:cs="宋体"/>
                <w:b/>
                <w:color w:val="auto"/>
                <w:szCs w:val="21"/>
                <w:highlight w:val="none"/>
              </w:rPr>
              <w:fldChar w:fldCharType="separate"/>
            </w:r>
            <w:r>
              <w:rPr>
                <w:rStyle w:val="41"/>
                <w:rFonts w:hint="eastAsia" w:ascii="宋体" w:hAnsi="宋体" w:eastAsia="宋体" w:cs="宋体"/>
                <w:b/>
                <w:color w:val="auto"/>
                <w:szCs w:val="21"/>
                <w:highlight w:val="none"/>
                <w:u w:val="none"/>
              </w:rPr>
              <w:t>日17时前</w:t>
            </w:r>
            <w:r>
              <w:rPr>
                <w:rStyle w:val="41"/>
                <w:rFonts w:hint="eastAsia" w:ascii="宋体" w:hAnsi="宋体" w:eastAsia="宋体" w:cs="宋体"/>
                <w:bCs/>
                <w:color w:val="auto"/>
                <w:szCs w:val="21"/>
                <w:highlight w:val="none"/>
                <w:u w:val="none"/>
              </w:rPr>
              <w:t>，将疑问以书面形式（加盖公章）送至资产与实验室管理处（会峰校区行政楼220）或以邮件的形式发送至（ahldzb@126.com）代理邮箱，采购人将在</w:t>
            </w:r>
            <w:r>
              <w:rPr>
                <w:rStyle w:val="41"/>
                <w:rFonts w:hint="eastAsia" w:ascii="宋体" w:hAnsi="宋体" w:eastAsia="宋体" w:cs="宋体"/>
                <w:b/>
                <w:color w:val="auto"/>
                <w:szCs w:val="21"/>
                <w:highlight w:val="none"/>
                <w:u w:val="none"/>
              </w:rPr>
              <w:t>2024年</w:t>
            </w:r>
            <w:r>
              <w:rPr>
                <w:rFonts w:hint="eastAsia" w:ascii="宋体" w:hAnsi="宋体" w:eastAsia="宋体" w:cs="宋体"/>
                <w:b/>
                <w:color w:val="auto"/>
                <w:szCs w:val="21"/>
                <w:highlight w:val="none"/>
              </w:rPr>
              <w:fldChar w:fldCharType="end"/>
            </w:r>
            <w:r>
              <w:rPr>
                <w:rFonts w:hint="eastAsia" w:ascii="宋体" w:hAnsi="宋体" w:cs="宋体"/>
                <w:b/>
                <w:color w:val="auto"/>
                <w:szCs w:val="21"/>
                <w:highlight w:val="none"/>
                <w:lang w:val="en-US" w:eastAsia="zh-CN"/>
              </w:rPr>
              <w:t>08</w:t>
            </w:r>
            <w:r>
              <w:rPr>
                <w:rFonts w:hint="eastAsia" w:ascii="宋体" w:hAnsi="宋体" w:eastAsia="宋体" w:cs="宋体"/>
                <w:b/>
                <w:color w:val="auto"/>
                <w:szCs w:val="21"/>
                <w:highlight w:val="none"/>
              </w:rPr>
              <w:t>月</w:t>
            </w:r>
            <w:r>
              <w:rPr>
                <w:rFonts w:hint="eastAsia" w:ascii="宋体" w:hAnsi="宋体" w:cs="宋体"/>
                <w:b/>
                <w:color w:val="auto"/>
                <w:szCs w:val="21"/>
                <w:highlight w:val="none"/>
                <w:lang w:val="en-US" w:eastAsia="zh-CN"/>
              </w:rPr>
              <w:t>19</w:t>
            </w:r>
            <w:r>
              <w:rPr>
                <w:rFonts w:hint="eastAsia" w:ascii="宋体" w:hAnsi="宋体" w:eastAsia="宋体" w:cs="宋体"/>
                <w:b/>
                <w:color w:val="auto"/>
                <w:szCs w:val="21"/>
                <w:highlight w:val="none"/>
              </w:rPr>
              <w:t>日17时前</w:t>
            </w:r>
            <w:r>
              <w:rPr>
                <w:rFonts w:hint="eastAsia" w:ascii="宋体" w:hAnsi="宋体" w:eastAsia="宋体" w:cs="宋体"/>
                <w:bCs/>
                <w:color w:val="auto"/>
                <w:szCs w:val="21"/>
                <w:highlight w:val="none"/>
              </w:rPr>
              <w:t>以澄清公告形式在滁州学院网站（http://zcc.chzu.edu.cn）资产与实验室管理处网页采购公告栏处予以公告，请各潜在供应商注意查看有关澄清内容，如不及时查看造成后果由供应商自负。</w:t>
            </w:r>
          </w:p>
          <w:p w14:paraId="619CA185">
            <w:pPr>
              <w:spacing w:line="440" w:lineRule="exac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供应商请注意：</w:t>
            </w:r>
            <w:r>
              <w:rPr>
                <w:rFonts w:hint="eastAsia" w:ascii="宋体" w:hAnsi="宋体" w:eastAsia="宋体" w:cs="宋体"/>
                <w:bCs/>
                <w:color w:val="auto"/>
                <w:szCs w:val="21"/>
                <w:highlight w:val="none"/>
              </w:rPr>
              <w:t>采购代理机构对磋商文件进行的澄清、更正或更改，将在网站上及时发布，该公告内容为磋商文件的组成部分，对供应商具有同样约束力效力。供应商应主动上网查询。采购代理机构不承担供应商未及时关注相关信息引发的相关责任。</w:t>
            </w:r>
          </w:p>
        </w:tc>
      </w:tr>
      <w:tr w14:paraId="54177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noWrap w:val="0"/>
            <w:vAlign w:val="center"/>
          </w:tcPr>
          <w:p w14:paraId="0F27ACC5">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14</w:t>
            </w:r>
          </w:p>
        </w:tc>
        <w:tc>
          <w:tcPr>
            <w:tcW w:w="1815" w:type="dxa"/>
            <w:noWrap w:val="0"/>
            <w:vAlign w:val="center"/>
          </w:tcPr>
          <w:p w14:paraId="7E687365">
            <w:pPr>
              <w:spacing w:line="44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勘查现场</w:t>
            </w:r>
          </w:p>
        </w:tc>
        <w:tc>
          <w:tcPr>
            <w:tcW w:w="7905" w:type="dxa"/>
            <w:noWrap w:val="0"/>
            <w:vAlign w:val="center"/>
          </w:tcPr>
          <w:p w14:paraId="136A910A">
            <w:pPr>
              <w:spacing w:line="440" w:lineRule="exact"/>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szCs w:val="21"/>
                <w:highlight w:val="none"/>
              </w:rPr>
              <w:instrText xml:space="preserve">,√)</w:instrText>
            </w:r>
            <w:r>
              <w:rPr>
                <w:rFonts w:hint="eastAsia" w:ascii="宋体" w:hAnsi="宋体" w:eastAsia="宋体" w:cs="宋体"/>
                <w:color w:val="auto"/>
                <w:szCs w:val="21"/>
                <w:highlight w:val="none"/>
              </w:rPr>
              <w:fldChar w:fldCharType="end"/>
            </w:r>
            <w:r>
              <w:rPr>
                <w:rFonts w:hint="eastAsia" w:ascii="宋体" w:hAnsi="宋体" w:eastAsia="宋体" w:cs="宋体"/>
                <w:bCs/>
                <w:color w:val="auto"/>
                <w:szCs w:val="21"/>
                <w:highlight w:val="none"/>
              </w:rPr>
              <w:t>不组织勘察；</w:t>
            </w:r>
            <w:r>
              <w:rPr>
                <w:rFonts w:hint="eastAsia" w:ascii="宋体" w:hAnsi="宋体" w:eastAsia="宋体" w:cs="宋体"/>
                <w:color w:val="auto"/>
                <w:szCs w:val="21"/>
                <w:highlight w:val="none"/>
              </w:rPr>
              <w:t>可自行勘察，</w:t>
            </w:r>
            <w:r>
              <w:rPr>
                <w:rFonts w:hint="eastAsia" w:ascii="宋体" w:hAnsi="宋体" w:eastAsia="宋体" w:cs="宋体"/>
                <w:bCs/>
                <w:color w:val="auto"/>
                <w:szCs w:val="21"/>
                <w:highlight w:val="none"/>
              </w:rPr>
              <w:t xml:space="preserve"> </w:t>
            </w:r>
            <w:r>
              <w:rPr>
                <w:rFonts w:hint="eastAsia" w:ascii="宋体" w:hAnsi="宋体" w:eastAsia="宋体" w:cs="宋体"/>
                <w:color w:val="auto"/>
                <w:szCs w:val="21"/>
                <w:highlight w:val="none"/>
              </w:rPr>
              <w:t>□</w:t>
            </w:r>
            <w:r>
              <w:rPr>
                <w:rFonts w:hint="eastAsia" w:ascii="宋体" w:hAnsi="宋体" w:eastAsia="宋体" w:cs="宋体"/>
                <w:bCs/>
                <w:color w:val="auto"/>
                <w:szCs w:val="21"/>
                <w:highlight w:val="none"/>
              </w:rPr>
              <w:t>统一组织</w:t>
            </w:r>
          </w:p>
        </w:tc>
      </w:tr>
      <w:tr w14:paraId="65C8C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20" w:type="dxa"/>
            <w:noWrap w:val="0"/>
            <w:vAlign w:val="center"/>
          </w:tcPr>
          <w:p w14:paraId="5622726E">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1815" w:type="dxa"/>
            <w:noWrap w:val="0"/>
            <w:vAlign w:val="center"/>
          </w:tcPr>
          <w:p w14:paraId="5282F255">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响应文件份数</w:t>
            </w:r>
          </w:p>
        </w:tc>
        <w:tc>
          <w:tcPr>
            <w:tcW w:w="7905" w:type="dxa"/>
            <w:noWrap w:val="0"/>
            <w:vAlign w:val="center"/>
          </w:tcPr>
          <w:p w14:paraId="3B9E335D">
            <w:pPr>
              <w:spacing w:line="440" w:lineRule="exact"/>
              <w:rPr>
                <w:rFonts w:hint="eastAsia" w:ascii="宋体" w:hAnsi="宋体" w:eastAsia="宋体" w:cs="宋体"/>
                <w:b/>
                <w:bCs/>
                <w:color w:val="auto"/>
                <w:szCs w:val="21"/>
                <w:highlight w:val="none"/>
              </w:rPr>
            </w:pPr>
            <w:r>
              <w:rPr>
                <w:rFonts w:hint="eastAsia" w:ascii="宋体" w:hAnsi="宋体" w:eastAsia="宋体" w:cs="宋体"/>
                <w:bCs/>
                <w:color w:val="auto"/>
                <w:szCs w:val="21"/>
                <w:highlight w:val="none"/>
              </w:rPr>
              <w:t>正本壹份，副本贰份。</w:t>
            </w:r>
          </w:p>
        </w:tc>
      </w:tr>
      <w:tr w14:paraId="107D7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20" w:type="dxa"/>
            <w:noWrap w:val="0"/>
            <w:vAlign w:val="center"/>
          </w:tcPr>
          <w:p w14:paraId="38EDC626">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w:t>
            </w:r>
          </w:p>
        </w:tc>
        <w:tc>
          <w:tcPr>
            <w:tcW w:w="1815" w:type="dxa"/>
            <w:noWrap w:val="0"/>
            <w:vAlign w:val="center"/>
          </w:tcPr>
          <w:p w14:paraId="4DEA0ED9">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封套上写明</w:t>
            </w:r>
          </w:p>
        </w:tc>
        <w:tc>
          <w:tcPr>
            <w:tcW w:w="7905" w:type="dxa"/>
            <w:noWrap w:val="0"/>
            <w:vAlign w:val="center"/>
          </w:tcPr>
          <w:p w14:paraId="32758B35">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1、供应商名称以及标注“正本”或 “副本”字样，密封处应加盖单位公章。</w:t>
            </w:r>
          </w:p>
          <w:p w14:paraId="49028F8C">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2、项目名称：                        </w:t>
            </w:r>
          </w:p>
          <w:p w14:paraId="1B1BB413">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3、项目编号：                       </w:t>
            </w:r>
          </w:p>
          <w:p w14:paraId="7DAD947F">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4、标明 “请勿在（填入前附表中规定的磋商日期和时间）之前启封”字样。</w:t>
            </w:r>
          </w:p>
          <w:p w14:paraId="7AE91F93">
            <w:pPr>
              <w:spacing w:line="440" w:lineRule="exact"/>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 xml:space="preserve">5、供应商名称：  </w:t>
            </w:r>
          </w:p>
        </w:tc>
      </w:tr>
      <w:tr w14:paraId="57D2B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20" w:type="dxa"/>
            <w:noWrap w:val="0"/>
            <w:vAlign w:val="center"/>
          </w:tcPr>
          <w:p w14:paraId="664D803D">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w:t>
            </w:r>
          </w:p>
        </w:tc>
        <w:tc>
          <w:tcPr>
            <w:tcW w:w="1815" w:type="dxa"/>
            <w:noWrap w:val="0"/>
            <w:vAlign w:val="center"/>
          </w:tcPr>
          <w:p w14:paraId="7F40A3C1">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装订、密封要求</w:t>
            </w:r>
          </w:p>
        </w:tc>
        <w:tc>
          <w:tcPr>
            <w:tcW w:w="7905" w:type="dxa"/>
            <w:noWrap w:val="0"/>
            <w:vAlign w:val="center"/>
          </w:tcPr>
          <w:p w14:paraId="4880212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磋商文件的正本和副本应采用胶装（或其他方式）左侧装订，不得采用活页夹等可随时拆换的方式装订，不得有零散页。磋商文件应按照“磋商文件格式”的目录次序装订。</w:t>
            </w:r>
            <w:r>
              <w:rPr>
                <w:rFonts w:hint="eastAsia" w:ascii="宋体" w:hAnsi="宋体" w:eastAsia="宋体" w:cs="宋体"/>
                <w:b/>
                <w:bCs/>
                <w:color w:val="auto"/>
                <w:szCs w:val="21"/>
                <w:highlight w:val="none"/>
              </w:rPr>
              <w:t>资格证明文件正副本密封在资格证明文件袋内，技术标正副本密封在技术标文件袋内，商务标正副本密封在商务标文件袋内。</w:t>
            </w:r>
          </w:p>
        </w:tc>
      </w:tr>
      <w:tr w14:paraId="491D6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720" w:type="dxa"/>
            <w:noWrap w:val="0"/>
            <w:vAlign w:val="center"/>
          </w:tcPr>
          <w:p w14:paraId="4E9E6CF2">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p>
        </w:tc>
        <w:tc>
          <w:tcPr>
            <w:tcW w:w="1815" w:type="dxa"/>
            <w:noWrap w:val="0"/>
            <w:vAlign w:val="center"/>
          </w:tcPr>
          <w:p w14:paraId="4818D47A">
            <w:pPr>
              <w:spacing w:line="440" w:lineRule="exact"/>
              <w:jc w:val="center"/>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最高限价</w:t>
            </w:r>
          </w:p>
        </w:tc>
        <w:tc>
          <w:tcPr>
            <w:tcW w:w="7905" w:type="dxa"/>
            <w:noWrap w:val="0"/>
            <w:vAlign w:val="center"/>
          </w:tcPr>
          <w:p w14:paraId="6EB55EA2">
            <w:pPr>
              <w:autoSpaceDE w:val="0"/>
              <w:autoSpaceDN w:val="0"/>
              <w:adjustRightInd w:val="0"/>
              <w:spacing w:line="440" w:lineRule="exact"/>
              <w:jc w:val="lef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本项目最高限价为：</w:t>
            </w:r>
            <w:r>
              <w:rPr>
                <w:rFonts w:hint="eastAsia" w:ascii="宋体" w:hAnsi="宋体" w:eastAsia="宋体" w:cs="宋体"/>
                <w:b/>
                <w:bCs/>
                <w:color w:val="auto"/>
                <w:szCs w:val="21"/>
                <w:highlight w:val="none"/>
                <w:lang w:val="en-US" w:eastAsia="zh-CN"/>
              </w:rPr>
              <w:t>350000.00</w:t>
            </w:r>
            <w:r>
              <w:rPr>
                <w:rFonts w:hint="eastAsia" w:ascii="宋体" w:hAnsi="宋体" w:eastAsia="宋体" w:cs="宋体"/>
                <w:b/>
                <w:bCs/>
                <w:color w:val="auto"/>
                <w:szCs w:val="21"/>
                <w:highlight w:val="none"/>
              </w:rPr>
              <w:t>元（</w:t>
            </w:r>
            <w:r>
              <w:rPr>
                <w:rFonts w:hint="eastAsia" w:ascii="宋体" w:hAnsi="宋体" w:eastAsia="宋体" w:cs="宋体"/>
                <w:b/>
                <w:bCs/>
                <w:color w:val="auto"/>
                <w:szCs w:val="21"/>
                <w:highlight w:val="none"/>
                <w:lang w:eastAsia="zh-CN"/>
              </w:rPr>
              <w:t>叁拾伍万元整</w:t>
            </w:r>
            <w:r>
              <w:rPr>
                <w:rFonts w:hint="eastAsia" w:ascii="宋体" w:hAnsi="宋体" w:eastAsia="宋体" w:cs="宋体"/>
                <w:b/>
                <w:bCs/>
                <w:color w:val="auto"/>
                <w:szCs w:val="21"/>
                <w:highlight w:val="none"/>
              </w:rPr>
              <w:t>）</w:t>
            </w:r>
            <w:r>
              <w:rPr>
                <w:rFonts w:hint="eastAsia" w:ascii="宋体" w:hAnsi="宋体" w:eastAsia="宋体" w:cs="宋体"/>
                <w:b/>
                <w:bCs/>
                <w:color w:val="auto"/>
                <w:kern w:val="0"/>
                <w:szCs w:val="21"/>
                <w:highlight w:val="none"/>
              </w:rPr>
              <w:t xml:space="preserve">。供应商的总报价不得高于最高限价，否则，其响应文件按无效标处理； </w:t>
            </w:r>
          </w:p>
        </w:tc>
      </w:tr>
      <w:tr w14:paraId="28326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20" w:type="dxa"/>
            <w:noWrap w:val="0"/>
            <w:vAlign w:val="center"/>
          </w:tcPr>
          <w:p w14:paraId="495DAFA6">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19</w:t>
            </w:r>
          </w:p>
        </w:tc>
        <w:tc>
          <w:tcPr>
            <w:tcW w:w="1815" w:type="dxa"/>
            <w:noWrap w:val="0"/>
            <w:vAlign w:val="center"/>
          </w:tcPr>
          <w:p w14:paraId="606C17E1">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磋商文件提交截止时间、地点及递交方式</w:t>
            </w:r>
          </w:p>
        </w:tc>
        <w:tc>
          <w:tcPr>
            <w:tcW w:w="7905" w:type="dxa"/>
            <w:noWrap w:val="0"/>
            <w:vAlign w:val="center"/>
          </w:tcPr>
          <w:p w14:paraId="0BBF54EC">
            <w:pPr>
              <w:pStyle w:val="15"/>
              <w:spacing w:after="0"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收件人：安徽立地工程咨询有限公司</w:t>
            </w:r>
          </w:p>
          <w:p w14:paraId="4644822E">
            <w:pPr>
              <w:pStyle w:val="15"/>
              <w:spacing w:after="0" w:line="44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磋商提交截止时间：</w:t>
            </w:r>
            <w:r>
              <w:rPr>
                <w:rFonts w:hint="eastAsia" w:ascii="宋体" w:hAnsi="宋体" w:eastAsia="宋体" w:cs="宋体"/>
                <w:b/>
                <w:bCs/>
                <w:color w:val="auto"/>
                <w:szCs w:val="21"/>
                <w:highlight w:val="none"/>
                <w:lang w:eastAsia="zh-CN"/>
              </w:rPr>
              <w:t>2024年</w:t>
            </w:r>
            <w:r>
              <w:rPr>
                <w:rFonts w:hint="eastAsia" w:ascii="宋体" w:hAnsi="宋体" w:cs="宋体"/>
                <w:b/>
                <w:bCs/>
                <w:color w:val="auto"/>
                <w:szCs w:val="21"/>
                <w:highlight w:val="none"/>
                <w:lang w:val="en-US" w:eastAsia="zh-CN"/>
              </w:rPr>
              <w:t>08</w:t>
            </w:r>
            <w:r>
              <w:rPr>
                <w:rFonts w:hint="eastAsia" w:ascii="宋体" w:hAnsi="宋体" w:eastAsia="宋体" w:cs="宋体"/>
                <w:b/>
                <w:bCs/>
                <w:color w:val="auto"/>
                <w:szCs w:val="21"/>
                <w:highlight w:val="none"/>
                <w:lang w:eastAsia="zh-CN"/>
              </w:rPr>
              <w:t>月</w:t>
            </w:r>
            <w:r>
              <w:rPr>
                <w:rFonts w:hint="eastAsia" w:ascii="宋体" w:hAnsi="宋体" w:cs="宋体"/>
                <w:b/>
                <w:bCs/>
                <w:color w:val="auto"/>
                <w:szCs w:val="21"/>
                <w:highlight w:val="none"/>
                <w:lang w:val="en-US" w:eastAsia="zh-CN"/>
              </w:rPr>
              <w:t>23</w:t>
            </w:r>
            <w:r>
              <w:rPr>
                <w:rFonts w:hint="eastAsia" w:ascii="宋体" w:hAnsi="宋体" w:eastAsia="宋体" w:cs="宋体"/>
                <w:b/>
                <w:bCs/>
                <w:color w:val="auto"/>
                <w:szCs w:val="21"/>
                <w:highlight w:val="none"/>
                <w:lang w:eastAsia="zh-CN"/>
              </w:rPr>
              <w:t>日09时00分</w:t>
            </w:r>
          </w:p>
          <w:p w14:paraId="6E00F274">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磋商地点：滁州市丰乐大道1899号皖东国际车城A区写字楼A6栋3楼会议室</w:t>
            </w:r>
          </w:p>
        </w:tc>
      </w:tr>
      <w:tr w14:paraId="40F2C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20" w:type="dxa"/>
            <w:noWrap w:val="0"/>
            <w:vAlign w:val="center"/>
          </w:tcPr>
          <w:p w14:paraId="5E975353">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w:t>
            </w:r>
          </w:p>
        </w:tc>
        <w:tc>
          <w:tcPr>
            <w:tcW w:w="1815" w:type="dxa"/>
            <w:noWrap w:val="0"/>
            <w:vAlign w:val="center"/>
          </w:tcPr>
          <w:p w14:paraId="560CBBEE">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磋商时间及地点</w:t>
            </w:r>
          </w:p>
        </w:tc>
        <w:tc>
          <w:tcPr>
            <w:tcW w:w="7905" w:type="dxa"/>
            <w:noWrap w:val="0"/>
            <w:vAlign w:val="center"/>
          </w:tcPr>
          <w:p w14:paraId="6349554F">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磋商时间：同磋商截止时间</w:t>
            </w:r>
          </w:p>
          <w:p w14:paraId="73F1C0B8">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磋商地点：滁州市丰乐大道1899号皖东国际车城A区写字楼A6栋3楼会议室</w:t>
            </w:r>
          </w:p>
        </w:tc>
      </w:tr>
      <w:tr w14:paraId="51C5B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noWrap w:val="0"/>
            <w:vAlign w:val="center"/>
          </w:tcPr>
          <w:p w14:paraId="6EF1FB5E">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1815" w:type="dxa"/>
            <w:noWrap w:val="0"/>
            <w:vAlign w:val="center"/>
          </w:tcPr>
          <w:p w14:paraId="79D2248C">
            <w:pPr>
              <w:pStyle w:val="17"/>
              <w:spacing w:line="440" w:lineRule="exact"/>
              <w:jc w:val="center"/>
              <w:rPr>
                <w:rFonts w:hint="eastAsia" w:hAnsi="宋体" w:eastAsia="宋体" w:cs="宋体"/>
                <w:b/>
                <w:bCs/>
                <w:color w:val="auto"/>
                <w:highlight w:val="none"/>
              </w:rPr>
            </w:pPr>
            <w:r>
              <w:rPr>
                <w:rFonts w:hint="eastAsia" w:hAnsi="宋体" w:eastAsia="宋体" w:cs="宋体"/>
                <w:b/>
                <w:bCs/>
                <w:color w:val="auto"/>
                <w:highlight w:val="none"/>
              </w:rPr>
              <w:t>磋商小组的组建</w:t>
            </w:r>
          </w:p>
        </w:tc>
        <w:tc>
          <w:tcPr>
            <w:tcW w:w="7905" w:type="dxa"/>
            <w:noWrap w:val="0"/>
            <w:vAlign w:val="center"/>
          </w:tcPr>
          <w:p w14:paraId="7389E063">
            <w:pPr>
              <w:spacing w:line="440" w:lineRule="exac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磋商小组由3名专家评委组建。</w:t>
            </w:r>
          </w:p>
        </w:tc>
      </w:tr>
      <w:tr w14:paraId="45685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20" w:type="dxa"/>
            <w:noWrap w:val="0"/>
            <w:vAlign w:val="center"/>
          </w:tcPr>
          <w:p w14:paraId="2345F205">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w:t>
            </w:r>
          </w:p>
        </w:tc>
        <w:tc>
          <w:tcPr>
            <w:tcW w:w="1815" w:type="dxa"/>
            <w:noWrap w:val="0"/>
            <w:vAlign w:val="center"/>
          </w:tcPr>
          <w:p w14:paraId="0AB569B2">
            <w:pPr>
              <w:pStyle w:val="17"/>
              <w:spacing w:line="440" w:lineRule="exact"/>
              <w:jc w:val="center"/>
              <w:rPr>
                <w:rFonts w:hint="eastAsia" w:hAnsi="宋体" w:eastAsia="宋体" w:cs="宋体"/>
                <w:color w:val="auto"/>
                <w:highlight w:val="none"/>
              </w:rPr>
            </w:pPr>
            <w:r>
              <w:rPr>
                <w:rFonts w:hint="eastAsia" w:hAnsi="宋体" w:eastAsia="宋体" w:cs="宋体"/>
                <w:color w:val="auto"/>
                <w:highlight w:val="none"/>
              </w:rPr>
              <w:t>是否授权磋商小组确定成交人</w:t>
            </w:r>
          </w:p>
        </w:tc>
        <w:tc>
          <w:tcPr>
            <w:tcW w:w="7905" w:type="dxa"/>
            <w:noWrap w:val="0"/>
            <w:vAlign w:val="center"/>
          </w:tcPr>
          <w:p w14:paraId="7DE2A9F1">
            <w:pPr>
              <w:pStyle w:val="17"/>
              <w:spacing w:line="440" w:lineRule="exact"/>
              <w:rPr>
                <w:rFonts w:hint="eastAsia" w:hAnsi="宋体" w:eastAsia="宋体" w:cs="宋体"/>
                <w:color w:val="auto"/>
                <w:highlight w:val="none"/>
              </w:rPr>
            </w:pPr>
            <w:r>
              <w:rPr>
                <w:rFonts w:hint="eastAsia" w:hAnsi="宋体" w:eastAsia="宋体" w:cs="宋体"/>
                <w:color w:val="auto"/>
                <w:highlight w:val="none"/>
              </w:rPr>
              <w:t>是，推荐的成交人数：1名。</w:t>
            </w:r>
          </w:p>
        </w:tc>
      </w:tr>
      <w:tr w14:paraId="3893F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20" w:type="dxa"/>
            <w:noWrap w:val="0"/>
            <w:vAlign w:val="center"/>
          </w:tcPr>
          <w:p w14:paraId="62B2BE6C">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23</w:t>
            </w:r>
          </w:p>
        </w:tc>
        <w:tc>
          <w:tcPr>
            <w:tcW w:w="1815" w:type="dxa"/>
            <w:noWrap w:val="0"/>
            <w:vAlign w:val="center"/>
          </w:tcPr>
          <w:p w14:paraId="2EEFFDED">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评审办法</w:t>
            </w:r>
          </w:p>
        </w:tc>
        <w:tc>
          <w:tcPr>
            <w:tcW w:w="7905" w:type="dxa"/>
            <w:noWrap w:val="0"/>
            <w:vAlign w:val="center"/>
          </w:tcPr>
          <w:p w14:paraId="740DA161">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综合评分法，详见磋商文件。</w:t>
            </w:r>
          </w:p>
        </w:tc>
      </w:tr>
      <w:tr w14:paraId="233A5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20" w:type="dxa"/>
            <w:noWrap w:val="0"/>
            <w:vAlign w:val="center"/>
          </w:tcPr>
          <w:p w14:paraId="46933D1B">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24</w:t>
            </w:r>
          </w:p>
        </w:tc>
        <w:tc>
          <w:tcPr>
            <w:tcW w:w="1815" w:type="dxa"/>
            <w:noWrap w:val="0"/>
            <w:vAlign w:val="center"/>
          </w:tcPr>
          <w:p w14:paraId="47C500AE">
            <w:pPr>
              <w:spacing w:line="440" w:lineRule="exact"/>
              <w:jc w:val="center"/>
              <w:rPr>
                <w:rFonts w:hint="eastAsia" w:ascii="宋体" w:hAnsi="宋体" w:eastAsia="宋体" w:cs="宋体"/>
                <w:color w:val="auto"/>
                <w:szCs w:val="21"/>
                <w:highlight w:val="none"/>
              </w:rPr>
            </w:pPr>
            <w:r>
              <w:rPr>
                <w:rFonts w:hint="eastAsia" w:ascii="宋体" w:hAnsi="宋体" w:cs="宋体"/>
                <w:color w:val="auto"/>
                <w:szCs w:val="21"/>
                <w:highlight w:val="none"/>
              </w:rPr>
              <w:t>成交服务费</w:t>
            </w:r>
          </w:p>
        </w:tc>
        <w:tc>
          <w:tcPr>
            <w:tcW w:w="7905" w:type="dxa"/>
            <w:noWrap w:val="0"/>
            <w:vAlign w:val="center"/>
          </w:tcPr>
          <w:p w14:paraId="172D90EB">
            <w:pPr>
              <w:spacing w:line="440" w:lineRule="exact"/>
              <w:rPr>
                <w:rFonts w:hint="eastAsia" w:ascii="宋体" w:hAnsi="宋体" w:cs="宋体"/>
                <w:color w:val="auto"/>
                <w:szCs w:val="21"/>
                <w:highlight w:val="none"/>
              </w:rPr>
            </w:pPr>
            <w:r>
              <w:rPr>
                <w:rFonts w:hint="eastAsia" w:ascii="宋体" w:hAnsi="宋体" w:cs="宋体"/>
                <w:bCs/>
                <w:color w:val="auto"/>
                <w:szCs w:val="21"/>
                <w:highlight w:val="none"/>
              </w:rPr>
              <w:t>按照计价格[2002]1980号文规定标准的80%向所代理项目的中标（成交）人收取采购代理服务费。上述费用由成交人在领取成交通知书前一次性支付给代理机构。</w:t>
            </w:r>
          </w:p>
          <w:p w14:paraId="6AC6C36A">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项目中标（成交）金额30万元以下，代理服务费不足3500元的小额项目，按3500元固定标准收取。项目为多包的小额项目，每包增加500元代理费。</w:t>
            </w:r>
          </w:p>
          <w:p w14:paraId="3F2BDE65">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备注：</w:t>
            </w:r>
          </w:p>
          <w:p w14:paraId="686624BA">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（1）采购项目所涉及开评标场地及会议、交通、住宿、评审、监督、进场交易、投诉质疑处理等一切相关延伸服务产生的费用均包含在代理服务费中。</w:t>
            </w:r>
          </w:p>
          <w:p w14:paraId="68A3A34B">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（2）采购代理费向所代理项目的中标（成交）供应商收取，采购人不支付代理机构任何费用。供应商须自行考虑履约过程中存在的价格因素及相关风险。</w:t>
            </w:r>
          </w:p>
          <w:p w14:paraId="4AAAA451">
            <w:pPr>
              <w:spacing w:line="440" w:lineRule="exact"/>
              <w:rPr>
                <w:rFonts w:hint="eastAsia" w:ascii="宋体" w:hAnsi="宋体" w:eastAsia="宋体" w:cs="宋体"/>
                <w:bCs/>
                <w:color w:val="auto"/>
                <w:szCs w:val="21"/>
                <w:highlight w:val="none"/>
              </w:rPr>
            </w:pPr>
            <w:r>
              <w:rPr>
                <w:rFonts w:hint="eastAsia" w:ascii="宋体" w:hAnsi="宋体" w:cs="宋体"/>
                <w:color w:val="auto"/>
                <w:szCs w:val="21"/>
                <w:highlight w:val="none"/>
              </w:rPr>
              <w:t xml:space="preserve">（3）若项目一个包允许多家供应商中标（成交），由同时中标（成交）人均摊代理服务费（四舍五入取整）；一招多年的服务项目以一个年度的中标（成交）金额计费。 </w:t>
            </w:r>
          </w:p>
        </w:tc>
      </w:tr>
      <w:tr w14:paraId="109C3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20" w:type="dxa"/>
            <w:noWrap w:val="0"/>
            <w:vAlign w:val="center"/>
          </w:tcPr>
          <w:p w14:paraId="3311A06F">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25</w:t>
            </w:r>
          </w:p>
        </w:tc>
        <w:tc>
          <w:tcPr>
            <w:tcW w:w="1815" w:type="dxa"/>
            <w:noWrap w:val="0"/>
            <w:vAlign w:val="center"/>
          </w:tcPr>
          <w:p w14:paraId="1D8DCBF5">
            <w:pPr>
              <w:spacing w:line="44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履约担保</w:t>
            </w:r>
          </w:p>
        </w:tc>
        <w:tc>
          <w:tcPr>
            <w:tcW w:w="7905" w:type="dxa"/>
            <w:noWrap w:val="0"/>
            <w:vAlign w:val="top"/>
          </w:tcPr>
          <w:p w14:paraId="3FD49313">
            <w:pPr>
              <w:spacing w:line="4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履约担保的形式：转账</w:t>
            </w:r>
          </w:p>
          <w:p w14:paraId="485B5739">
            <w:pPr>
              <w:spacing w:line="4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履约担保的金额：中标价款的2.5%</w:t>
            </w:r>
          </w:p>
          <w:p w14:paraId="4BA3B56C">
            <w:pPr>
              <w:spacing w:line="4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缴纳时间：签订合同前</w:t>
            </w:r>
          </w:p>
          <w:p w14:paraId="59C61D4B">
            <w:pPr>
              <w:spacing w:line="4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成交人在签订合同前需将中标价款2.5%的履约保证金交至学校指定账户，待项目服务期满并经采购人验收合格后，一次性退还履约保证金。</w:t>
            </w:r>
          </w:p>
          <w:p w14:paraId="3B360EB8">
            <w:pPr>
              <w:spacing w:line="4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单位：滁州学院</w:t>
            </w:r>
          </w:p>
          <w:p w14:paraId="0B8FA664">
            <w:pPr>
              <w:spacing w:line="4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开户行：工行醉翁亭支行</w:t>
            </w:r>
          </w:p>
          <w:p w14:paraId="7D5A8E3B">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账号：1313062809024904784</w:t>
            </w:r>
          </w:p>
        </w:tc>
      </w:tr>
      <w:tr w14:paraId="665B0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noWrap w:val="0"/>
            <w:vAlign w:val="center"/>
          </w:tcPr>
          <w:p w14:paraId="1CAED372">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w:t>
            </w:r>
          </w:p>
        </w:tc>
        <w:tc>
          <w:tcPr>
            <w:tcW w:w="1815" w:type="dxa"/>
            <w:noWrap w:val="0"/>
            <w:vAlign w:val="center"/>
          </w:tcPr>
          <w:p w14:paraId="26962A96">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采购人联系方式</w:t>
            </w:r>
          </w:p>
        </w:tc>
        <w:tc>
          <w:tcPr>
            <w:tcW w:w="7905" w:type="dxa"/>
            <w:noWrap w:val="0"/>
            <w:vAlign w:val="center"/>
          </w:tcPr>
          <w:p w14:paraId="6584BF7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详见磋商公告</w:t>
            </w:r>
          </w:p>
        </w:tc>
      </w:tr>
      <w:tr w14:paraId="15727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5" w:hRule="atLeast"/>
          <w:jc w:val="center"/>
        </w:trPr>
        <w:tc>
          <w:tcPr>
            <w:tcW w:w="720" w:type="dxa"/>
            <w:noWrap w:val="0"/>
            <w:vAlign w:val="center"/>
          </w:tcPr>
          <w:p w14:paraId="459494BB">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27</w:t>
            </w:r>
          </w:p>
        </w:tc>
        <w:tc>
          <w:tcPr>
            <w:tcW w:w="1815" w:type="dxa"/>
            <w:noWrap w:val="0"/>
            <w:vAlign w:val="center"/>
          </w:tcPr>
          <w:p w14:paraId="1568AAFD">
            <w:pPr>
              <w:spacing w:line="440" w:lineRule="exact"/>
              <w:jc w:val="center"/>
              <w:rPr>
                <w:rFonts w:hint="eastAsia" w:ascii="宋体" w:hAnsi="宋体" w:eastAsia="宋体" w:cs="宋体"/>
                <w:color w:val="auto"/>
                <w:szCs w:val="21"/>
                <w:highlight w:val="none"/>
              </w:rPr>
            </w:pPr>
            <w:r>
              <w:rPr>
                <w:rFonts w:hint="eastAsia" w:ascii="宋体" w:hAnsi="宋体" w:cs="宋体"/>
                <w:color w:val="auto"/>
                <w:szCs w:val="21"/>
                <w:highlight w:val="none"/>
              </w:rPr>
              <w:t>备注</w:t>
            </w:r>
          </w:p>
        </w:tc>
        <w:tc>
          <w:tcPr>
            <w:tcW w:w="7905" w:type="dxa"/>
            <w:noWrap w:val="0"/>
            <w:vAlign w:val="center"/>
          </w:tcPr>
          <w:p w14:paraId="2C5E6D78">
            <w:pPr>
              <w:spacing w:line="440" w:lineRule="exact"/>
              <w:rPr>
                <w:rFonts w:hint="eastAsia" w:ascii="宋体" w:hAnsi="宋体" w:cs="宋体"/>
                <w:color w:val="auto"/>
                <w:kern w:val="0"/>
                <w:szCs w:val="21"/>
                <w:highlight w:val="none"/>
                <w:u w:val="none" w:color="000000"/>
              </w:rPr>
            </w:pPr>
            <w:r>
              <w:rPr>
                <w:rFonts w:hint="eastAsia" w:ascii="宋体" w:hAnsi="宋体" w:cs="宋体"/>
                <w:color w:val="auto"/>
                <w:kern w:val="0"/>
                <w:szCs w:val="21"/>
                <w:highlight w:val="none"/>
                <w:u w:val="none" w:color="000000"/>
              </w:rPr>
              <w:t>①本项目的法定代表人（或委托代理人）必须按照本文件要求的时间、地点手持身份证原件参加磋商会议，否则其磋商文件将被拒绝。</w:t>
            </w:r>
          </w:p>
          <w:p w14:paraId="2851206A">
            <w:pPr>
              <w:spacing w:line="440" w:lineRule="exact"/>
              <w:rPr>
                <w:rFonts w:hint="eastAsia" w:ascii="宋体" w:hAnsi="宋体" w:cs="宋体"/>
                <w:color w:val="auto"/>
                <w:kern w:val="0"/>
                <w:szCs w:val="21"/>
                <w:highlight w:val="none"/>
                <w:u w:val="none" w:color="000000"/>
              </w:rPr>
            </w:pPr>
            <w:r>
              <w:rPr>
                <w:rFonts w:hint="eastAsia" w:ascii="宋体" w:hAnsi="宋体" w:cs="宋体"/>
                <w:color w:val="auto"/>
                <w:kern w:val="0"/>
                <w:szCs w:val="21"/>
                <w:highlight w:val="none"/>
                <w:u w:val="none" w:color="000000"/>
              </w:rPr>
              <w:t>②本磋商文件前后条款若有不一致之处，在澄清答疑时又未作出明确时，各供应商的磋商文件只要满足其中任一条款均视为对磋商文件的响应。</w:t>
            </w:r>
          </w:p>
          <w:p w14:paraId="315AEB01">
            <w:pPr>
              <w:spacing w:line="440" w:lineRule="exact"/>
              <w:rPr>
                <w:rFonts w:hint="eastAsia" w:ascii="宋体" w:hAnsi="宋体" w:cs="宋体"/>
                <w:color w:val="auto"/>
                <w:kern w:val="0"/>
                <w:szCs w:val="21"/>
                <w:highlight w:val="none"/>
                <w:u w:val="none" w:color="000000"/>
              </w:rPr>
            </w:pPr>
            <w:r>
              <w:rPr>
                <w:rFonts w:hint="eastAsia" w:ascii="宋体" w:hAnsi="宋体" w:cs="宋体"/>
                <w:color w:val="auto"/>
                <w:kern w:val="0"/>
                <w:szCs w:val="21"/>
                <w:highlight w:val="none"/>
                <w:u w:val="none" w:color="000000"/>
              </w:rPr>
              <w:t>③磋商小组只依靠供应商递交的磋商文件及其按照磋商文件要求提供的所有证明材料进行评审，而不依靠任何外来的证明材料。</w:t>
            </w:r>
          </w:p>
          <w:p w14:paraId="339080A8">
            <w:pPr>
              <w:spacing w:line="440" w:lineRule="exact"/>
              <w:rPr>
                <w:rFonts w:hint="eastAsia" w:ascii="宋体" w:hAnsi="宋体" w:cs="宋体"/>
                <w:color w:val="auto"/>
                <w:kern w:val="0"/>
                <w:szCs w:val="21"/>
                <w:highlight w:val="none"/>
                <w:u w:val="none" w:color="000000"/>
              </w:rPr>
            </w:pPr>
            <w:r>
              <w:rPr>
                <w:rFonts w:hint="eastAsia" w:ascii="宋体" w:hAnsi="宋体" w:cs="宋体"/>
                <w:color w:val="auto"/>
                <w:kern w:val="0"/>
                <w:szCs w:val="21"/>
                <w:highlight w:val="none"/>
                <w:u w:val="none" w:color="000000"/>
              </w:rPr>
              <w:t>④</w:t>
            </w:r>
            <w:r>
              <w:rPr>
                <w:rFonts w:hint="eastAsia" w:ascii="宋体" w:hAnsi="宋体" w:cs="宋体"/>
                <w:color w:val="auto"/>
                <w:szCs w:val="21"/>
                <w:highlight w:val="none"/>
              </w:rPr>
              <w:t>投标供应商对采购文件内容有疑问的，须在采购文件规定的质疑截止时间前，向采购人（或代理机构）提出询问或者质疑，未在规定质疑截止时间内提出异议的，该质疑不予受理，并视同投标供应商认可采购文件所有内容。</w:t>
            </w:r>
          </w:p>
          <w:p w14:paraId="35963336">
            <w:pPr>
              <w:spacing w:line="440" w:lineRule="exact"/>
              <w:rPr>
                <w:rFonts w:hint="eastAsia" w:ascii="宋体" w:hAnsi="宋体" w:eastAsia="宋体" w:cs="宋体"/>
                <w:b/>
                <w:color w:val="auto"/>
                <w:szCs w:val="21"/>
                <w:highlight w:val="none"/>
              </w:rPr>
            </w:pPr>
            <w:r>
              <w:rPr>
                <w:rFonts w:hint="eastAsia" w:ascii="宋体" w:hAnsi="宋体" w:cs="宋体"/>
                <w:color w:val="auto"/>
                <w:kern w:val="0"/>
                <w:szCs w:val="21"/>
                <w:highlight w:val="none"/>
                <w:u w:val="none" w:color="000000"/>
              </w:rPr>
              <w:t xml:space="preserve">⑤本文件的最终解释权归采购人、采购代理机构所有。 </w:t>
            </w:r>
          </w:p>
        </w:tc>
      </w:tr>
      <w:tr w14:paraId="4889E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noWrap w:val="0"/>
            <w:vAlign w:val="center"/>
          </w:tcPr>
          <w:p w14:paraId="63DFD91D">
            <w:pPr>
              <w:spacing w:line="440" w:lineRule="exact"/>
              <w:jc w:val="center"/>
              <w:rPr>
                <w:rFonts w:hint="eastAsia" w:ascii="宋体" w:hAnsi="宋体" w:eastAsia="宋体" w:cs="宋体"/>
                <w:color w:val="auto"/>
                <w:szCs w:val="21"/>
                <w:highlight w:val="none"/>
              </w:rPr>
            </w:pPr>
            <w:bookmarkStart w:id="2" w:name="_Toc427016280"/>
            <w:bookmarkStart w:id="3" w:name="_Toc519783882"/>
            <w:bookmarkStart w:id="4" w:name="_Toc427106469"/>
            <w:r>
              <w:rPr>
                <w:rFonts w:hint="eastAsia" w:ascii="宋体" w:hAnsi="宋体" w:cs="宋体"/>
                <w:color w:val="auto"/>
                <w:szCs w:val="21"/>
                <w:highlight w:val="none"/>
              </w:rPr>
              <w:t>28</w:t>
            </w:r>
          </w:p>
        </w:tc>
        <w:tc>
          <w:tcPr>
            <w:tcW w:w="1815" w:type="dxa"/>
            <w:noWrap w:val="0"/>
            <w:vAlign w:val="center"/>
          </w:tcPr>
          <w:p w14:paraId="7F81269B">
            <w:pPr>
              <w:spacing w:line="500" w:lineRule="exact"/>
              <w:jc w:val="center"/>
              <w:rPr>
                <w:rFonts w:hint="eastAsia" w:ascii="宋体" w:hAnsi="宋体" w:cs="宋体"/>
                <w:color w:val="auto"/>
                <w:szCs w:val="21"/>
                <w:highlight w:val="none"/>
              </w:rPr>
            </w:pPr>
            <w:r>
              <w:rPr>
                <w:rFonts w:hint="eastAsia" w:ascii="宋体" w:hAnsi="宋体" w:cs="宋体"/>
                <w:color w:val="auto"/>
                <w:szCs w:val="21"/>
                <w:highlight w:val="none"/>
              </w:rPr>
              <w:t>业绩</w:t>
            </w:r>
          </w:p>
        </w:tc>
        <w:tc>
          <w:tcPr>
            <w:tcW w:w="7905" w:type="dxa"/>
            <w:noWrap w:val="0"/>
            <w:vAlign w:val="center"/>
          </w:tcPr>
          <w:p w14:paraId="6C574708">
            <w:pPr>
              <w:pStyle w:val="94"/>
              <w:spacing w:line="500" w:lineRule="exact"/>
              <w:rPr>
                <w:rFonts w:hint="eastAsia" w:ascii="宋体" w:hAnsi="宋体" w:cs="宋体"/>
                <w:color w:val="auto"/>
                <w:kern w:val="0"/>
                <w:szCs w:val="21"/>
                <w:highlight w:val="none"/>
                <w:u w:val="none" w:color="000000"/>
              </w:rPr>
            </w:pPr>
            <w:r>
              <w:rPr>
                <w:rFonts w:hint="eastAsia" w:ascii="宋体" w:hAnsi="宋体" w:cs="宋体"/>
                <w:color w:val="auto"/>
                <w:sz w:val="21"/>
                <w:szCs w:val="21"/>
                <w:highlight w:val="none"/>
              </w:rPr>
              <w:t>本项目将对排名第一的成交候选供应商经磋商小组评审认可的供应商业绩进行公示。</w:t>
            </w:r>
          </w:p>
        </w:tc>
      </w:tr>
    </w:tbl>
    <w:p w14:paraId="2BC9006C">
      <w:pPr>
        <w:pStyle w:val="5"/>
        <w:pageBreakBefore/>
        <w:spacing w:before="156" w:beforeLines="50" w:after="156" w:afterLines="50" w:line="44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三、磋商须知</w:t>
      </w:r>
      <w:bookmarkEnd w:id="2"/>
      <w:bookmarkEnd w:id="3"/>
      <w:bookmarkEnd w:id="4"/>
    </w:p>
    <w:p w14:paraId="33C6F545">
      <w:pPr>
        <w:pStyle w:val="6"/>
        <w:spacing w:before="156" w:beforeLines="50" w:after="156" w:afterLines="50" w:line="440" w:lineRule="exact"/>
        <w:jc w:val="center"/>
        <w:rPr>
          <w:rFonts w:hint="eastAsia" w:ascii="宋体" w:hAnsi="宋体" w:eastAsia="宋体" w:cs="宋体"/>
          <w:bCs w:val="0"/>
          <w:color w:val="auto"/>
          <w:sz w:val="28"/>
          <w:szCs w:val="28"/>
          <w:highlight w:val="none"/>
        </w:rPr>
      </w:pPr>
      <w:bookmarkStart w:id="5" w:name="_Toc427016281"/>
      <w:bookmarkStart w:id="6" w:name="_Toc519783883"/>
      <w:bookmarkStart w:id="7" w:name="_Toc427106470"/>
      <w:r>
        <w:rPr>
          <w:rFonts w:hint="eastAsia" w:ascii="宋体" w:hAnsi="宋体" w:eastAsia="宋体" w:cs="宋体"/>
          <w:bCs w:val="0"/>
          <w:color w:val="auto"/>
          <w:sz w:val="28"/>
          <w:szCs w:val="28"/>
          <w:highlight w:val="none"/>
        </w:rPr>
        <w:t>（一）总则</w:t>
      </w:r>
      <w:bookmarkEnd w:id="5"/>
      <w:bookmarkEnd w:id="6"/>
      <w:bookmarkEnd w:id="7"/>
    </w:p>
    <w:p w14:paraId="7FD8FB5A">
      <w:pPr>
        <w:spacing w:line="440" w:lineRule="exact"/>
        <w:ind w:firstLine="422" w:firstLineChars="200"/>
        <w:outlineLvl w:val="1"/>
        <w:rPr>
          <w:rFonts w:hint="eastAsia" w:ascii="宋体" w:hAnsi="宋体" w:cs="宋体"/>
          <w:b/>
          <w:color w:val="auto"/>
          <w:szCs w:val="21"/>
          <w:highlight w:val="none"/>
        </w:rPr>
      </w:pPr>
      <w:r>
        <w:rPr>
          <w:rFonts w:hint="eastAsia" w:ascii="宋体" w:hAnsi="宋体" w:cs="宋体"/>
          <w:b/>
          <w:color w:val="auto"/>
          <w:szCs w:val="21"/>
          <w:highlight w:val="none"/>
        </w:rPr>
        <w:t>1.适用范围</w:t>
      </w:r>
    </w:p>
    <w:p w14:paraId="3845428D">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1.1本磋商文件仅适用于本次磋商所述的货物、工程和服务项目采购。</w:t>
      </w:r>
    </w:p>
    <w:p w14:paraId="48242CF2">
      <w:pPr>
        <w:spacing w:line="440" w:lineRule="exact"/>
        <w:ind w:firstLine="422" w:firstLineChars="200"/>
        <w:outlineLvl w:val="1"/>
        <w:rPr>
          <w:rFonts w:hint="eastAsia" w:ascii="宋体" w:hAnsi="宋体" w:cs="宋体"/>
          <w:b/>
          <w:color w:val="auto"/>
          <w:szCs w:val="21"/>
          <w:highlight w:val="none"/>
        </w:rPr>
      </w:pPr>
      <w:r>
        <w:rPr>
          <w:rFonts w:hint="eastAsia" w:ascii="宋体" w:hAnsi="宋体" w:cs="宋体"/>
          <w:b/>
          <w:color w:val="auto"/>
          <w:szCs w:val="21"/>
          <w:highlight w:val="none"/>
        </w:rPr>
        <w:t>2.有关定义</w:t>
      </w:r>
    </w:p>
    <w:p w14:paraId="65949F0F">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 “采购人”系指</w:t>
      </w:r>
      <w:r>
        <w:rPr>
          <w:rFonts w:hint="eastAsia" w:ascii="宋体" w:hAnsi="宋体" w:cs="宋体"/>
          <w:color w:val="auto"/>
          <w:spacing w:val="4"/>
          <w:szCs w:val="21"/>
          <w:highlight w:val="none"/>
        </w:rPr>
        <w:t>资产与实验室管理处</w:t>
      </w:r>
      <w:r>
        <w:rPr>
          <w:rFonts w:hint="eastAsia" w:ascii="宋体" w:hAnsi="宋体" w:cs="宋体"/>
          <w:color w:val="auto"/>
          <w:szCs w:val="21"/>
          <w:highlight w:val="none"/>
        </w:rPr>
        <w:t>。</w:t>
      </w:r>
    </w:p>
    <w:p w14:paraId="11474412">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2.2“采购代理机构”系指安徽立地工程咨询有限公司。</w:t>
      </w:r>
    </w:p>
    <w:p w14:paraId="130D2BB0">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 “供应商”系指响应采购人要求提交响应文件的单位。</w:t>
      </w:r>
    </w:p>
    <w:p w14:paraId="40CE57D3">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 “磋商小组”：是指按照《评标委员会和评标方法暂行规定》的规定组建的专门负责本次采购的评标工作的临时机构。</w:t>
      </w:r>
    </w:p>
    <w:p w14:paraId="47615AC1">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 “服务”系指磋商文件规定供应商须承担服务的义务。</w:t>
      </w:r>
    </w:p>
    <w:p w14:paraId="2CA84D8A">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2.6“日期”指日历天。</w:t>
      </w:r>
    </w:p>
    <w:p w14:paraId="34FBAAB4">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2.7磋商文件中所规定的“书面形式”，是指任何手写的、打印或印刷的形式，包括电报和传真发送。</w:t>
      </w:r>
    </w:p>
    <w:p w14:paraId="50971AC8">
      <w:pPr>
        <w:spacing w:line="440" w:lineRule="exact"/>
        <w:ind w:firstLine="420" w:firstLineChars="200"/>
        <w:outlineLvl w:val="2"/>
        <w:rPr>
          <w:rFonts w:hint="eastAsia" w:ascii="宋体" w:hAnsi="宋体" w:cs="宋体"/>
          <w:color w:val="auto"/>
          <w:szCs w:val="21"/>
          <w:highlight w:val="none"/>
        </w:rPr>
      </w:pPr>
      <w:r>
        <w:rPr>
          <w:rFonts w:hint="eastAsia" w:ascii="宋体" w:hAnsi="宋体" w:cs="宋体"/>
          <w:color w:val="auto"/>
          <w:szCs w:val="21"/>
          <w:highlight w:val="none"/>
        </w:rPr>
        <w:t>2.8“磋商文件”系指采购代理机构发布的磋商文件。</w:t>
      </w:r>
    </w:p>
    <w:p w14:paraId="3D6B3D61">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2.9“响应文件”系指供应商按照磋商文件要求编制并提交的实质性响应及承诺文件。</w:t>
      </w:r>
    </w:p>
    <w:p w14:paraId="34D1FC4F">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2.10时限（年份、月份等）计算：系指从磋商之日向前追溯X年/月（“X”为“一”及以后整数）起算。除非本磋商文件另有规定，否则业绩时间均以合同签订之日为追溯结点。</w:t>
      </w:r>
    </w:p>
    <w:p w14:paraId="122BB9E4">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2.11业绩：系指符合本磋商文件规定且已服务完毕的与最终用户签订的合同及相关证明。供应商与其关联公司（如母公司、控股公司、参股公司、分公司、子公司、同一法定代表人的公司等）之间签订的合同，均不予认可。</w:t>
      </w:r>
    </w:p>
    <w:p w14:paraId="2B66DCFB">
      <w:pPr>
        <w:spacing w:line="440" w:lineRule="exact"/>
        <w:ind w:firstLine="422" w:firstLineChars="200"/>
        <w:outlineLvl w:val="1"/>
        <w:rPr>
          <w:rFonts w:hint="eastAsia" w:ascii="宋体" w:hAnsi="宋体" w:cs="宋体"/>
          <w:b/>
          <w:color w:val="auto"/>
          <w:szCs w:val="21"/>
          <w:highlight w:val="none"/>
        </w:rPr>
      </w:pPr>
      <w:r>
        <w:rPr>
          <w:rFonts w:hint="eastAsia" w:ascii="宋体" w:hAnsi="宋体" w:cs="宋体"/>
          <w:b/>
          <w:color w:val="auto"/>
          <w:szCs w:val="21"/>
          <w:highlight w:val="none"/>
        </w:rPr>
        <w:t>3.磋商费用</w:t>
      </w:r>
    </w:p>
    <w:p w14:paraId="44F7628B">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3.1无论磋商结果如何，供应商应自行承担其编制与提交响应文件所涉及的一切费用。</w:t>
      </w:r>
    </w:p>
    <w:p w14:paraId="299C407D">
      <w:pPr>
        <w:spacing w:line="440" w:lineRule="exact"/>
        <w:ind w:firstLine="422" w:firstLineChars="200"/>
        <w:outlineLvl w:val="1"/>
        <w:rPr>
          <w:rFonts w:hint="eastAsia" w:ascii="宋体" w:hAnsi="宋体" w:cs="宋体"/>
          <w:b/>
          <w:color w:val="auto"/>
          <w:szCs w:val="21"/>
          <w:highlight w:val="none"/>
        </w:rPr>
      </w:pPr>
      <w:r>
        <w:rPr>
          <w:rFonts w:hint="eastAsia" w:ascii="宋体" w:hAnsi="宋体" w:cs="宋体"/>
          <w:b/>
          <w:color w:val="auto"/>
          <w:szCs w:val="21"/>
          <w:highlight w:val="none"/>
        </w:rPr>
        <w:t>4.合格的供应商</w:t>
      </w:r>
    </w:p>
    <w:p w14:paraId="5F8AADA3">
      <w:pPr>
        <w:spacing w:line="440" w:lineRule="exact"/>
        <w:ind w:firstLine="420" w:firstLineChars="200"/>
        <w:outlineLvl w:val="2"/>
        <w:rPr>
          <w:rFonts w:hint="eastAsia" w:ascii="宋体" w:hAnsi="宋体" w:cs="宋体"/>
          <w:color w:val="auto"/>
          <w:szCs w:val="21"/>
          <w:highlight w:val="none"/>
        </w:rPr>
      </w:pPr>
      <w:r>
        <w:rPr>
          <w:rFonts w:hint="eastAsia" w:ascii="宋体" w:hAnsi="宋体" w:cs="宋体"/>
          <w:color w:val="auto"/>
          <w:szCs w:val="21"/>
          <w:highlight w:val="none"/>
        </w:rPr>
        <w:t>4.1合格的供应商应符合磋商文件载明的供应商资格。</w:t>
      </w:r>
    </w:p>
    <w:p w14:paraId="3EC6B295">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4.1.1除非磋商文件认可，否则母、子公司之间的业绩、资质不得互用。</w:t>
      </w:r>
    </w:p>
    <w:p w14:paraId="78CF1B32">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4.2单位负责人为同一人或者存在直接控股、管理关系的不同供应商，不得参加同一合同项下的采购活动。</w:t>
      </w:r>
    </w:p>
    <w:p w14:paraId="6E081F38">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4.3除单一来源采购项目外，为采购项目提供整体设计、规范编制或者项目管理、监理、检测等服务的供应商，不得再参加该采购项目的其他采购活动。</w:t>
      </w:r>
    </w:p>
    <w:p w14:paraId="79A42CD4">
      <w:pPr>
        <w:spacing w:line="440" w:lineRule="exact"/>
        <w:ind w:firstLine="422" w:firstLineChars="200"/>
        <w:outlineLvl w:val="1"/>
        <w:rPr>
          <w:rFonts w:hint="eastAsia" w:ascii="宋体" w:hAnsi="宋体" w:cs="宋体"/>
          <w:b/>
          <w:color w:val="auto"/>
          <w:szCs w:val="21"/>
          <w:highlight w:val="none"/>
        </w:rPr>
      </w:pPr>
      <w:r>
        <w:rPr>
          <w:rFonts w:hint="eastAsia" w:ascii="宋体" w:hAnsi="宋体" w:cs="宋体"/>
          <w:b/>
          <w:color w:val="auto"/>
          <w:szCs w:val="21"/>
          <w:highlight w:val="none"/>
        </w:rPr>
        <w:t xml:space="preserve">5.踏勘现场 </w:t>
      </w:r>
    </w:p>
    <w:p w14:paraId="254DC2C7">
      <w:pPr>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5.1供应商应自行对服务现场和周围环境进行勘察，以获取编制响应文件和签署合同所需的资料。勘查现场</w:t>
      </w:r>
      <w:r>
        <w:rPr>
          <w:rFonts w:hint="eastAsia" w:ascii="宋体" w:hAnsi="宋体" w:cs="宋体"/>
          <w:color w:val="auto"/>
          <w:szCs w:val="21"/>
          <w:highlight w:val="none"/>
        </w:rPr>
        <w:t>的方式、地址及联系方式见磋商公告。</w:t>
      </w:r>
    </w:p>
    <w:p w14:paraId="0137F9F3">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勘查现场所发生的费用由供应商自己承担。采购人向供应商提供的有关本项目的资料和数据，是采购人现有的能使供应商利用的资料。采购人对供应商由此而做出的推论、理解和结论概不负责。供应商因自身原因未进行实地踏勘的，成交后签订合同时和履约过程中，不得以不完全了解现场情况为由，提出任何形式的增加合同外造价或索赔的要求。</w:t>
      </w:r>
    </w:p>
    <w:p w14:paraId="52D12862">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5.3除非有特殊要求，磋商文件不单独提供供货或服务所在地的自然环境、气候条件、公用设施等情况，供应商被视为熟悉上述与履行合同有关的一切情况。</w:t>
      </w:r>
    </w:p>
    <w:p w14:paraId="2CCE7098">
      <w:pPr>
        <w:spacing w:line="440" w:lineRule="exact"/>
        <w:ind w:firstLine="422" w:firstLineChars="200"/>
        <w:outlineLvl w:val="1"/>
        <w:rPr>
          <w:rFonts w:hint="eastAsia" w:ascii="宋体" w:hAnsi="宋体" w:cs="宋体"/>
          <w:b/>
          <w:color w:val="auto"/>
          <w:szCs w:val="21"/>
          <w:highlight w:val="none"/>
        </w:rPr>
      </w:pPr>
      <w:r>
        <w:rPr>
          <w:rFonts w:hint="eastAsia" w:ascii="宋体" w:hAnsi="宋体" w:cs="宋体"/>
          <w:b/>
          <w:color w:val="auto"/>
          <w:szCs w:val="21"/>
          <w:highlight w:val="none"/>
        </w:rPr>
        <w:t>6.知识产权</w:t>
      </w:r>
    </w:p>
    <w:p w14:paraId="56C21FC4">
      <w:pPr>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6.1供应商必须保证，采购人在中华人民共和国境内使用磋商货物、资料、技术、服务或其任何一部分时，享有不受限制的无偿使用权，不会产生因第三方提出侵犯其专利权、商标权或其它知识产权而引起的法律或经济纠纷。如供应商不拥有相应的知识产权，则在磋商报价中必须包括合法获取该知识产权的一切相关费用。</w:t>
      </w:r>
    </w:p>
    <w:p w14:paraId="5FD7A3C9">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6.2供应商如欲在项目实施过程中采用自有知识成果，须在响应文件中声明，并提供相关知识产权证明文件。使用该知识成果后，供应商须提供开发接口和开发手册等技术文档。</w:t>
      </w:r>
    </w:p>
    <w:p w14:paraId="1F7774B7">
      <w:pPr>
        <w:spacing w:line="440" w:lineRule="exact"/>
        <w:ind w:firstLine="422" w:firstLineChars="200"/>
        <w:outlineLvl w:val="1"/>
        <w:rPr>
          <w:rFonts w:hint="eastAsia" w:ascii="宋体" w:hAnsi="宋体" w:cs="宋体"/>
          <w:b/>
          <w:color w:val="auto"/>
          <w:szCs w:val="21"/>
          <w:highlight w:val="none"/>
        </w:rPr>
      </w:pPr>
      <w:r>
        <w:rPr>
          <w:rFonts w:hint="eastAsia" w:ascii="宋体" w:hAnsi="宋体" w:cs="宋体"/>
          <w:b/>
          <w:color w:val="auto"/>
          <w:szCs w:val="21"/>
          <w:highlight w:val="none"/>
        </w:rPr>
        <w:t>7.纪律与保密</w:t>
      </w:r>
    </w:p>
    <w:p w14:paraId="2D817F2E">
      <w:pPr>
        <w:spacing w:line="440" w:lineRule="exact"/>
        <w:ind w:firstLine="420" w:firstLineChars="200"/>
        <w:outlineLvl w:val="2"/>
        <w:rPr>
          <w:rFonts w:hint="eastAsia" w:ascii="宋体" w:hAnsi="宋体" w:cs="宋体"/>
          <w:color w:val="auto"/>
          <w:szCs w:val="21"/>
          <w:highlight w:val="none"/>
        </w:rPr>
      </w:pPr>
      <w:r>
        <w:rPr>
          <w:rFonts w:hint="eastAsia" w:ascii="宋体" w:hAnsi="宋体" w:cs="宋体"/>
          <w:color w:val="auto"/>
          <w:szCs w:val="21"/>
          <w:highlight w:val="none"/>
        </w:rPr>
        <w:t>7.1供应商的响应行为应遵守中国的有关法律法规和规章。</w:t>
      </w:r>
    </w:p>
    <w:p w14:paraId="01DBDF1E">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7.2供应商不得相互串通磋商报价，不得妨碍其他供应商的公平竞争，不得损害采购人或其他供应商的合法权益，供应商不得以向采购人、磋商小组成员行贿或者其他不正当手段谋取成交资格。</w:t>
      </w:r>
    </w:p>
    <w:p w14:paraId="56F85723">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有下列情形之一的，属于供应商相互串通参加磋商：</w:t>
      </w:r>
    </w:p>
    <w:p w14:paraId="351E87EB">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7.2.1供应商直接或者间接从采购人或者采购代理机构处获得其他供应商的相关情况并修改其响应文件；</w:t>
      </w:r>
    </w:p>
    <w:p w14:paraId="2AABAED4">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7.2.2供应商按照采购人或者采购代理机构的授意撤换、修改响应文件；</w:t>
      </w:r>
    </w:p>
    <w:p w14:paraId="292AD762">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7.2.3供应商之间协商报价、技术方案等响应文件的实质性内容；</w:t>
      </w:r>
    </w:p>
    <w:p w14:paraId="2E51ADA1">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7.2.4属于同一集团、协会、商会等组织成员的供应商按照该组织要求协同参加采购活动；</w:t>
      </w:r>
    </w:p>
    <w:p w14:paraId="718165C4">
      <w:pPr>
        <w:spacing w:line="440" w:lineRule="exact"/>
        <w:ind w:firstLine="420" w:firstLineChars="200"/>
        <w:outlineLvl w:val="3"/>
        <w:rPr>
          <w:rFonts w:hint="eastAsia" w:ascii="宋体" w:hAnsi="宋体" w:cs="宋体"/>
          <w:color w:val="auto"/>
          <w:szCs w:val="21"/>
          <w:highlight w:val="none"/>
        </w:rPr>
      </w:pPr>
      <w:r>
        <w:rPr>
          <w:rFonts w:hint="eastAsia" w:ascii="宋体" w:hAnsi="宋体" w:cs="宋体"/>
          <w:color w:val="auto"/>
          <w:szCs w:val="21"/>
          <w:highlight w:val="none"/>
        </w:rPr>
        <w:t>7.2.5供应商之间事先约定由某一特定的供应商成交；</w:t>
      </w:r>
    </w:p>
    <w:p w14:paraId="663F259B">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7.2.6供应商之间商定部分供应商放弃参加采购活动或者放弃成交资格；</w:t>
      </w:r>
    </w:p>
    <w:p w14:paraId="115EACD7">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7.2.7供应商与采购人或者采购代理机构之间、供应商相互之间，为谋求特定供应商成交或者排斥其他供应商的其他串通行为。</w:t>
      </w:r>
    </w:p>
    <w:p w14:paraId="07447723">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7.3在确定成交供应商之前，供应商不得与采购人就磋商价格、磋商方案等实质性内容进行谈判，也不得私下接触磋商小组成员。</w:t>
      </w:r>
    </w:p>
    <w:p w14:paraId="0463C5EA">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7.4在确定成交供应商之前，供应商试图在响应文件审查、澄清、比较和评价时对磋商小组、采购人和某采购代理机构施加任何影响都可能导致其响应无效。</w:t>
      </w:r>
    </w:p>
    <w:p w14:paraId="0E4CE2EE">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7.5由采购人向供应商提供的图纸、详细资料、样品、模型、模件和所有其他资料，被视为保密资料，仅被用于它所规定的用途。除非得到采购人的同意，不能向任何第三方透露。磋商结束后，应采购人要求，供应商应归还所有从采购人处获得的保密资料。</w:t>
      </w:r>
    </w:p>
    <w:p w14:paraId="71391501">
      <w:pPr>
        <w:spacing w:line="440" w:lineRule="exact"/>
        <w:ind w:firstLine="422" w:firstLineChars="200"/>
        <w:outlineLvl w:val="1"/>
        <w:rPr>
          <w:rFonts w:hint="eastAsia" w:ascii="宋体" w:hAnsi="宋体" w:cs="宋体"/>
          <w:b/>
          <w:color w:val="auto"/>
          <w:szCs w:val="21"/>
          <w:highlight w:val="none"/>
        </w:rPr>
      </w:pPr>
      <w:r>
        <w:rPr>
          <w:rFonts w:hint="eastAsia" w:ascii="宋体" w:hAnsi="宋体" w:cs="宋体"/>
          <w:b/>
          <w:color w:val="auto"/>
          <w:szCs w:val="21"/>
          <w:highlight w:val="none"/>
        </w:rPr>
        <w:t>8.联合体磋商（本项目不采用）</w:t>
      </w:r>
    </w:p>
    <w:p w14:paraId="18874518">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8.1除非本项目明确要求不接受联合体形式磋商外，两个或两个以上供应商可以组成一个联合体磋商，以一个供应商的身份磋商。</w:t>
      </w:r>
    </w:p>
    <w:p w14:paraId="7DA7AE32">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8.2以联合体形式参加磋商的，联合体各方均应当符合有关法规规定的条件。</w:t>
      </w:r>
    </w:p>
    <w:p w14:paraId="1003545E">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8.3联合体各方之间应当签订联合体协议，明确约定联合体各方应当承担的工作和相应的责任，并将联合体协议连同响应文件一并提交某采购代理机构。由同一专业的单位组成的联合体，按照同一资质等级较低的单位确定资质等级。联合体各方签订联合体协议后，不得再以自己的名义单独在同一项目中磋商，也不得组成新的联合体参加同一项目磋商。</w:t>
      </w:r>
    </w:p>
    <w:p w14:paraId="142197AF">
      <w:pPr>
        <w:spacing w:line="440" w:lineRule="exact"/>
        <w:ind w:firstLine="420" w:firstLineChars="200"/>
        <w:outlineLvl w:val="1"/>
        <w:rPr>
          <w:rFonts w:hint="eastAsia" w:ascii="宋体" w:hAnsi="宋体" w:cs="宋体"/>
          <w:bCs/>
          <w:color w:val="auto"/>
          <w:szCs w:val="21"/>
          <w:highlight w:val="none"/>
        </w:rPr>
      </w:pPr>
      <w:r>
        <w:rPr>
          <w:rFonts w:hint="eastAsia" w:ascii="宋体" w:hAnsi="宋体" w:cs="宋体"/>
          <w:bCs/>
          <w:color w:val="auto"/>
          <w:szCs w:val="21"/>
          <w:highlight w:val="none"/>
        </w:rPr>
        <w:t>9.</w:t>
      </w:r>
      <w:r>
        <w:rPr>
          <w:rFonts w:hint="eastAsia" w:ascii="宋体" w:hAnsi="宋体" w:cs="宋体"/>
          <w:b/>
          <w:bCs/>
          <w:color w:val="auto"/>
          <w:szCs w:val="21"/>
          <w:highlight w:val="none"/>
        </w:rPr>
        <w:t xml:space="preserve"> 磋商专用章的效力</w:t>
      </w:r>
    </w:p>
    <w:p w14:paraId="7A62637F">
      <w:pPr>
        <w:spacing w:line="440" w:lineRule="exact"/>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9.1磋商</w:t>
      </w:r>
      <w:r>
        <w:rPr>
          <w:rFonts w:hint="eastAsia" w:ascii="宋体" w:hAnsi="宋体" w:cs="宋体"/>
          <w:color w:val="auto"/>
          <w:szCs w:val="21"/>
          <w:highlight w:val="none"/>
        </w:rPr>
        <w:t>文件中明确要求加盖公章的，供应商必须加盖供应商公章。在有授权文件（原件）表明磋商专用章法律效力等同于供应商公章的情况下，可以加盖磋商专用章，否则将导致响应无效。</w:t>
      </w:r>
    </w:p>
    <w:p w14:paraId="02A80E3E">
      <w:pPr>
        <w:spacing w:line="440" w:lineRule="exact"/>
        <w:ind w:firstLine="422" w:firstLineChars="200"/>
        <w:outlineLvl w:val="1"/>
        <w:rPr>
          <w:rFonts w:hint="eastAsia" w:ascii="宋体" w:hAnsi="宋体" w:cs="宋体"/>
          <w:b/>
          <w:color w:val="auto"/>
          <w:szCs w:val="21"/>
          <w:highlight w:val="none"/>
        </w:rPr>
      </w:pPr>
      <w:r>
        <w:rPr>
          <w:rFonts w:hint="eastAsia" w:ascii="宋体" w:hAnsi="宋体" w:cs="宋体"/>
          <w:b/>
          <w:color w:val="auto"/>
          <w:szCs w:val="21"/>
          <w:highlight w:val="none"/>
        </w:rPr>
        <w:t>10.合同标的转让与分包</w:t>
      </w:r>
    </w:p>
    <w:p w14:paraId="6F607640">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10.1成交供应商不得向他人转让成交项目，也不得将成交项目肢解后分别向他人转让。 </w:t>
      </w:r>
    </w:p>
    <w:p w14:paraId="4255C79B">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10.2经采购人同意，磋商供应商根据采购项目的实际情况，拟在成交后将成交项目的非主体、非关键性工作交由他人完成的，应在磋商文件中载明。接受分包的人应当具备相应的资格条件，并不得再次分包。</w:t>
      </w:r>
    </w:p>
    <w:p w14:paraId="5C1F659C">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10.3成交供应商应当就采购项目和分包项目向采购人负责，分包供应商就分包项目承担责任。</w:t>
      </w:r>
    </w:p>
    <w:p w14:paraId="4948126B">
      <w:pPr>
        <w:spacing w:line="440" w:lineRule="exact"/>
        <w:ind w:firstLine="422" w:firstLineChars="200"/>
        <w:outlineLvl w:val="1"/>
        <w:rPr>
          <w:rFonts w:hint="eastAsia" w:ascii="宋体" w:hAnsi="宋体" w:cs="宋体"/>
          <w:b/>
          <w:bCs/>
          <w:color w:val="auto"/>
          <w:szCs w:val="21"/>
          <w:highlight w:val="none"/>
        </w:rPr>
      </w:pPr>
      <w:r>
        <w:rPr>
          <w:rFonts w:hint="eastAsia" w:ascii="宋体" w:hAnsi="宋体" w:cs="宋体"/>
          <w:b/>
          <w:bCs/>
          <w:color w:val="auto"/>
          <w:szCs w:val="21"/>
          <w:highlight w:val="none"/>
        </w:rPr>
        <w:t>11.采购信息的发布</w:t>
      </w:r>
    </w:p>
    <w:p w14:paraId="27E525EE">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11.1与本次采购活动相关的信息，可登录</w:t>
      </w:r>
      <w:r>
        <w:rPr>
          <w:rFonts w:hint="eastAsia" w:ascii="宋体" w:hAnsi="宋体" w:cs="宋体"/>
          <w:bCs/>
          <w:color w:val="auto"/>
          <w:szCs w:val="21"/>
          <w:highlight w:val="none"/>
        </w:rPr>
        <w:t>http://zcc.chzu.edu.cn</w:t>
      </w:r>
      <w:r>
        <w:rPr>
          <w:rFonts w:hint="eastAsia" w:ascii="宋体" w:hAnsi="宋体" w:cs="宋体"/>
          <w:color w:val="auto"/>
          <w:szCs w:val="21"/>
          <w:highlight w:val="none"/>
        </w:rPr>
        <w:t>查询。</w:t>
      </w:r>
    </w:p>
    <w:p w14:paraId="1BDA8CE6">
      <w:pPr>
        <w:pStyle w:val="6"/>
        <w:spacing w:before="156" w:beforeLines="50" w:after="156" w:afterLines="50" w:line="440" w:lineRule="exact"/>
        <w:jc w:val="center"/>
        <w:rPr>
          <w:rFonts w:hint="eastAsia" w:ascii="宋体" w:hAnsi="宋体" w:eastAsia="宋体" w:cs="宋体"/>
          <w:color w:val="auto"/>
          <w:sz w:val="28"/>
          <w:szCs w:val="28"/>
          <w:highlight w:val="none"/>
        </w:rPr>
      </w:pPr>
      <w:bookmarkStart w:id="8" w:name="_Toc461097053"/>
      <w:bookmarkStart w:id="9" w:name="_Toc427016282"/>
      <w:bookmarkStart w:id="10" w:name="_Toc519783884"/>
      <w:r>
        <w:rPr>
          <w:rFonts w:hint="eastAsia" w:ascii="宋体" w:hAnsi="宋体" w:eastAsia="宋体" w:cs="宋体"/>
          <w:color w:val="auto"/>
          <w:sz w:val="28"/>
          <w:szCs w:val="28"/>
          <w:highlight w:val="none"/>
        </w:rPr>
        <w:t>（二）磋商文件</w:t>
      </w:r>
      <w:bookmarkEnd w:id="8"/>
      <w:bookmarkEnd w:id="9"/>
      <w:bookmarkEnd w:id="10"/>
      <w:r>
        <w:rPr>
          <w:rFonts w:hint="eastAsia" w:ascii="宋体" w:hAnsi="宋体" w:eastAsia="宋体" w:cs="宋体"/>
          <w:color w:val="auto"/>
          <w:sz w:val="28"/>
          <w:szCs w:val="28"/>
          <w:highlight w:val="none"/>
        </w:rPr>
        <w:t>说明</w:t>
      </w:r>
    </w:p>
    <w:p w14:paraId="5C0B8A25">
      <w:pPr>
        <w:spacing w:line="440" w:lineRule="exact"/>
        <w:ind w:firstLine="413" w:firstLineChars="196"/>
        <w:outlineLvl w:val="1"/>
        <w:rPr>
          <w:rFonts w:hint="eastAsia" w:ascii="宋体" w:hAnsi="宋体" w:cs="宋体"/>
          <w:b/>
          <w:color w:val="auto"/>
          <w:szCs w:val="21"/>
          <w:highlight w:val="none"/>
        </w:rPr>
      </w:pPr>
      <w:r>
        <w:rPr>
          <w:rFonts w:hint="eastAsia" w:ascii="宋体" w:hAnsi="宋体" w:cs="宋体"/>
          <w:b/>
          <w:color w:val="auto"/>
          <w:szCs w:val="21"/>
          <w:highlight w:val="none"/>
        </w:rPr>
        <w:t>12.磋商文件构成</w:t>
      </w:r>
    </w:p>
    <w:p w14:paraId="09EF5EC6">
      <w:pPr>
        <w:spacing w:line="440" w:lineRule="exact"/>
        <w:ind w:firstLine="411" w:firstLineChars="196"/>
        <w:outlineLvl w:val="2"/>
        <w:rPr>
          <w:rFonts w:hint="eastAsia" w:ascii="宋体" w:hAnsi="宋体" w:cs="宋体"/>
          <w:color w:val="auto"/>
          <w:szCs w:val="21"/>
          <w:highlight w:val="none"/>
        </w:rPr>
      </w:pPr>
      <w:r>
        <w:rPr>
          <w:rFonts w:hint="eastAsia" w:ascii="宋体" w:hAnsi="宋体" w:cs="宋体"/>
          <w:color w:val="auto"/>
          <w:szCs w:val="21"/>
          <w:highlight w:val="none"/>
        </w:rPr>
        <w:t>12.1磋商文件包括以下部分：</w:t>
      </w:r>
    </w:p>
    <w:p w14:paraId="79C7E485">
      <w:pPr>
        <w:spacing w:line="44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一、磋商公告；</w:t>
      </w:r>
    </w:p>
    <w:p w14:paraId="588FE5DB">
      <w:pPr>
        <w:spacing w:line="44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二、磋商须知前附表；</w:t>
      </w:r>
    </w:p>
    <w:p w14:paraId="0C9D8321">
      <w:pPr>
        <w:spacing w:line="44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三、磋商须知；</w:t>
      </w:r>
    </w:p>
    <w:p w14:paraId="2B0B7069">
      <w:pPr>
        <w:spacing w:line="44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四、采购合同；</w:t>
      </w:r>
    </w:p>
    <w:p w14:paraId="70B0EAAD">
      <w:pPr>
        <w:spacing w:line="44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五、采购需求；</w:t>
      </w:r>
    </w:p>
    <w:p w14:paraId="6B32DFF2">
      <w:pPr>
        <w:spacing w:line="44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六、响应文件格式；</w:t>
      </w:r>
    </w:p>
    <w:p w14:paraId="1B5702DD">
      <w:pPr>
        <w:spacing w:line="44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七、采购人、代理机构对本文件的确认等。</w:t>
      </w:r>
    </w:p>
    <w:p w14:paraId="137562AF">
      <w:pPr>
        <w:spacing w:line="44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12.2 供应商应认真阅读磋商文件中所有的事项、格式、条件、条款和规范等要求。</w:t>
      </w:r>
    </w:p>
    <w:p w14:paraId="39DF1097">
      <w:pPr>
        <w:spacing w:line="44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12.3供应商应当按照磋商文件的要求编制响应文件。响应文件应对磋商文件提出的要求和条件作出实质性响应。</w:t>
      </w:r>
    </w:p>
    <w:p w14:paraId="041373D3">
      <w:pPr>
        <w:spacing w:line="440" w:lineRule="exact"/>
        <w:ind w:firstLine="550"/>
        <w:rPr>
          <w:rFonts w:hint="eastAsia" w:ascii="宋体" w:hAnsi="宋体" w:cs="宋体"/>
          <w:color w:val="auto"/>
          <w:szCs w:val="21"/>
          <w:highlight w:val="none"/>
        </w:rPr>
      </w:pPr>
      <w:r>
        <w:rPr>
          <w:rFonts w:hint="eastAsia" w:ascii="宋体" w:hAnsi="宋体" w:cs="宋体"/>
          <w:color w:val="auto"/>
          <w:szCs w:val="21"/>
          <w:highlight w:val="none"/>
        </w:rPr>
        <w:t>12.4供应商获取磋商文件后，应仔细检查磋商文件的所有内容，如有残缺等问题应自获得磋商文件后于答疑截止时间前向某采购代理机构提出，否则，由此引起的损失由供应商自行承担。</w:t>
      </w:r>
    </w:p>
    <w:p w14:paraId="734F7CB8">
      <w:pPr>
        <w:spacing w:line="440" w:lineRule="exact"/>
        <w:ind w:firstLine="413" w:firstLineChars="196"/>
        <w:outlineLvl w:val="1"/>
        <w:rPr>
          <w:rFonts w:hint="eastAsia" w:ascii="宋体" w:hAnsi="宋体" w:cs="宋体"/>
          <w:b/>
          <w:color w:val="auto"/>
          <w:szCs w:val="21"/>
          <w:highlight w:val="none"/>
        </w:rPr>
      </w:pPr>
      <w:r>
        <w:rPr>
          <w:rFonts w:hint="eastAsia" w:ascii="宋体" w:hAnsi="宋体" w:cs="宋体"/>
          <w:b/>
          <w:color w:val="auto"/>
          <w:szCs w:val="21"/>
          <w:highlight w:val="none"/>
        </w:rPr>
        <w:t>13.答疑及磋商文件的澄清与修改</w:t>
      </w:r>
    </w:p>
    <w:p w14:paraId="3F21753E">
      <w:pPr>
        <w:spacing w:line="44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13.1供应商如果对磋商文件内容有相关疑问，可以于磋商须知前附表列明的答疑接受时间前，向采购人或代理机构提出。</w:t>
      </w:r>
    </w:p>
    <w:p w14:paraId="10092CE6">
      <w:pPr>
        <w:spacing w:line="44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13.2采购人或代理机构对磋商文件进行的答疑、澄清、变更或补充，将在网站上及时发布，该公告内容为磋商文件的组成部分，对供应商具有同样约束力。当磋商文件、磋商文件的答疑、澄清、变更或补充等在同一内容的表述上不一致时，以最后发出的书面文件为准。供应商应主动上网查询。采购人或代理机构不承担供应商未及时关注相关信息引发的相关责任。</w:t>
      </w:r>
    </w:p>
    <w:p w14:paraId="0AA77E04">
      <w:pPr>
        <w:spacing w:line="44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13.3答疑、澄清、变更或补充的内容可能影响响应文件编制的，采购人或代理机构可以视采购具体情况，延长响应文件提交截止时间和磋商时间，并在磋商文件要求提交响应文件的截止时间前，在网站上发布延期公告。在上述情况下，采购人或代理机构和供应商在磋商截止期方面的全部权力、责任和义务，将适用于延长后新的磋商截止期。</w:t>
      </w:r>
    </w:p>
    <w:p w14:paraId="0386C75D">
      <w:pPr>
        <w:spacing w:line="44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13.4特殊情况下，采购人或代理机构发布澄清、更正或更改公告后，征得供应商同意，可不改变响应文件提交截止时间和磋商时间。</w:t>
      </w:r>
    </w:p>
    <w:p w14:paraId="18917C71">
      <w:pPr>
        <w:pStyle w:val="6"/>
        <w:spacing w:before="156" w:beforeLines="50" w:after="156" w:afterLines="50" w:line="440" w:lineRule="exact"/>
        <w:jc w:val="center"/>
        <w:rPr>
          <w:rFonts w:hint="eastAsia" w:ascii="宋体" w:hAnsi="宋体" w:eastAsia="宋体" w:cs="宋体"/>
          <w:color w:val="auto"/>
          <w:sz w:val="28"/>
          <w:szCs w:val="28"/>
          <w:highlight w:val="none"/>
        </w:rPr>
      </w:pPr>
      <w:bookmarkStart w:id="11" w:name="_Toc461097054"/>
      <w:bookmarkStart w:id="12" w:name="_Toc427016283"/>
      <w:bookmarkStart w:id="13" w:name="_Toc519783885"/>
      <w:r>
        <w:rPr>
          <w:rFonts w:hint="eastAsia" w:ascii="宋体" w:hAnsi="宋体" w:eastAsia="宋体" w:cs="宋体"/>
          <w:color w:val="auto"/>
          <w:sz w:val="28"/>
          <w:szCs w:val="28"/>
          <w:highlight w:val="none"/>
        </w:rPr>
        <w:t>（三）响应文件</w:t>
      </w:r>
      <w:bookmarkEnd w:id="11"/>
      <w:bookmarkEnd w:id="12"/>
      <w:bookmarkEnd w:id="13"/>
    </w:p>
    <w:p w14:paraId="02DA8C6E">
      <w:pPr>
        <w:spacing w:line="440" w:lineRule="exact"/>
        <w:ind w:firstLine="413" w:firstLineChars="196"/>
        <w:outlineLvl w:val="1"/>
        <w:rPr>
          <w:rFonts w:hint="eastAsia" w:ascii="宋体" w:hAnsi="宋体" w:cs="宋体"/>
          <w:b/>
          <w:color w:val="auto"/>
          <w:szCs w:val="21"/>
          <w:highlight w:val="none"/>
        </w:rPr>
      </w:pPr>
      <w:r>
        <w:rPr>
          <w:rFonts w:hint="eastAsia" w:ascii="宋体" w:hAnsi="宋体" w:cs="宋体"/>
          <w:b/>
          <w:color w:val="auto"/>
          <w:szCs w:val="21"/>
          <w:highlight w:val="none"/>
        </w:rPr>
        <w:t>14.响应文件构成与格式</w:t>
      </w:r>
    </w:p>
    <w:p w14:paraId="65506BBE">
      <w:pPr>
        <w:spacing w:line="440" w:lineRule="exact"/>
        <w:ind w:firstLine="411" w:firstLineChars="196"/>
        <w:rPr>
          <w:rFonts w:hint="eastAsia" w:ascii="宋体" w:hAnsi="宋体" w:cs="宋体"/>
          <w:color w:val="auto"/>
          <w:szCs w:val="21"/>
          <w:highlight w:val="none"/>
        </w:rPr>
      </w:pPr>
      <w:bookmarkStart w:id="14" w:name="_Hlt509650345"/>
      <w:bookmarkEnd w:id="14"/>
      <w:r>
        <w:rPr>
          <w:rFonts w:hint="eastAsia" w:ascii="宋体" w:hAnsi="宋体" w:cs="宋体"/>
          <w:color w:val="auto"/>
          <w:szCs w:val="21"/>
          <w:highlight w:val="none"/>
        </w:rPr>
        <w:t>14.1所有服务方案只允许供应商有一个磋商方案，不接受任何有选择的方案和报价（包括有条件的折扣）。供应商未按要求，提供了选择方案或报价的，其磋商将被拒绝。</w:t>
      </w:r>
    </w:p>
    <w:p w14:paraId="062A774A">
      <w:pPr>
        <w:spacing w:line="44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14.2响应文件由响应文件一（资信证明文件）、响应文件二（技术标）和响应文件三（商务标）三部分组成，均须单独装订成册和密封。供应商编写的响应文件应包括但不限于：</w:t>
      </w:r>
    </w:p>
    <w:p w14:paraId="3ECDE651">
      <w:pPr>
        <w:spacing w:line="440" w:lineRule="exact"/>
        <w:ind w:firstLine="310" w:firstLineChars="147"/>
        <w:outlineLvl w:val="2"/>
        <w:rPr>
          <w:rFonts w:hint="eastAsia" w:ascii="宋体" w:hAnsi="宋体" w:cs="宋体"/>
          <w:b/>
          <w:color w:val="auto"/>
          <w:szCs w:val="21"/>
          <w:highlight w:val="none"/>
        </w:rPr>
      </w:pPr>
      <w:r>
        <w:rPr>
          <w:rFonts w:hint="eastAsia" w:ascii="宋体" w:hAnsi="宋体" w:cs="宋体"/>
          <w:b/>
          <w:color w:val="auto"/>
          <w:szCs w:val="21"/>
          <w:highlight w:val="none"/>
        </w:rPr>
        <w:t>14.2.1响应文件一（资信证明文件）</w:t>
      </w:r>
    </w:p>
    <w:p w14:paraId="62EC4A65">
      <w:pPr>
        <w:widowControl/>
        <w:spacing w:line="440" w:lineRule="exact"/>
        <w:ind w:firstLine="420" w:firstLineChars="200"/>
        <w:textAlignment w:val="baseline"/>
        <w:rPr>
          <w:rFonts w:hint="eastAsia" w:ascii="宋体" w:hAnsi="宋体" w:cs="宋体"/>
          <w:color w:val="auto"/>
          <w:kern w:val="0"/>
          <w:szCs w:val="21"/>
          <w:highlight w:val="none"/>
          <w:u w:val="none" w:color="000000"/>
        </w:rPr>
      </w:pPr>
      <w:r>
        <w:rPr>
          <w:rFonts w:hint="eastAsia" w:ascii="宋体" w:hAnsi="宋体" w:cs="宋体"/>
          <w:color w:val="auto"/>
          <w:kern w:val="0"/>
          <w:szCs w:val="21"/>
          <w:highlight w:val="none"/>
          <w:u w:val="none" w:color="000000"/>
        </w:rPr>
        <w:t>（1）</w:t>
      </w:r>
      <w:r>
        <w:rPr>
          <w:rFonts w:hint="eastAsia" w:ascii="宋体" w:hAnsi="宋体" w:cs="宋体"/>
          <w:color w:val="auto"/>
          <w:szCs w:val="21"/>
          <w:highlight w:val="none"/>
        </w:rPr>
        <w:t>法定代表人</w:t>
      </w:r>
      <w:r>
        <w:rPr>
          <w:rFonts w:hint="eastAsia" w:ascii="宋体" w:hAnsi="宋体" w:cs="宋体"/>
          <w:color w:val="auto"/>
          <w:kern w:val="0"/>
          <w:szCs w:val="21"/>
          <w:highlight w:val="none"/>
          <w:u w:val="none" w:color="000000"/>
        </w:rPr>
        <w:t>身份证明及其有效身份证（或</w:t>
      </w:r>
      <w:r>
        <w:rPr>
          <w:rFonts w:hint="eastAsia" w:ascii="宋体" w:hAnsi="宋体" w:cs="宋体"/>
          <w:color w:val="auto"/>
          <w:szCs w:val="21"/>
          <w:highlight w:val="none"/>
        </w:rPr>
        <w:t>法定代表人</w:t>
      </w:r>
      <w:r>
        <w:rPr>
          <w:rFonts w:hint="eastAsia" w:ascii="宋体" w:hAnsi="宋体" w:cs="宋体"/>
          <w:color w:val="auto"/>
          <w:kern w:val="0"/>
          <w:szCs w:val="21"/>
          <w:highlight w:val="none"/>
          <w:u w:val="none" w:color="000000"/>
        </w:rPr>
        <w:t>授权委托书及其有效身份证）（格式见附件 ）；</w:t>
      </w:r>
    </w:p>
    <w:p w14:paraId="30343A38">
      <w:pPr>
        <w:spacing w:line="44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（2）供应商有效的营业执照（或三证合一的有效证件）；</w:t>
      </w:r>
    </w:p>
    <w:p w14:paraId="11876B0F">
      <w:pPr>
        <w:spacing w:line="44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（3）诚信响应承诺书（格式见附件）；</w:t>
      </w:r>
    </w:p>
    <w:p w14:paraId="155FBC33">
      <w:pPr>
        <w:spacing w:line="44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（4）资信评审评分细则中所需要的证明材料；</w:t>
      </w:r>
    </w:p>
    <w:p w14:paraId="14BCAF84">
      <w:pPr>
        <w:spacing w:line="440" w:lineRule="exact"/>
        <w:ind w:firstLine="411" w:firstLineChars="196"/>
        <w:rPr>
          <w:rFonts w:hint="eastAsia" w:ascii="宋体" w:hAnsi="宋体" w:cs="宋体"/>
          <w:color w:val="auto"/>
          <w:kern w:val="0"/>
          <w:szCs w:val="21"/>
          <w:highlight w:val="none"/>
          <w:u w:val="none" w:color="000000"/>
        </w:rPr>
      </w:pPr>
      <w:r>
        <w:rPr>
          <w:rFonts w:hint="eastAsia" w:ascii="宋体" w:hAnsi="宋体" w:cs="宋体"/>
          <w:color w:val="auto"/>
          <w:szCs w:val="21"/>
          <w:highlight w:val="none"/>
        </w:rPr>
        <w:t>（5）供应商针对本项目认为需要提供的其他证明材料。</w:t>
      </w:r>
    </w:p>
    <w:p w14:paraId="27A983E8">
      <w:pPr>
        <w:spacing w:line="440" w:lineRule="exact"/>
        <w:ind w:firstLine="422" w:firstLineChars="200"/>
        <w:rPr>
          <w:rFonts w:hint="eastAsia" w:ascii="宋体" w:hAnsi="宋体" w:cs="宋体"/>
          <w:b/>
          <w:bCs/>
          <w:color w:val="auto"/>
          <w:kern w:val="0"/>
          <w:szCs w:val="21"/>
          <w:highlight w:val="none"/>
          <w:u w:val="none" w:color="000000"/>
        </w:rPr>
      </w:pPr>
      <w:r>
        <w:rPr>
          <w:rFonts w:hint="eastAsia" w:ascii="宋体" w:hAnsi="宋体" w:cs="宋体"/>
          <w:b/>
          <w:bCs/>
          <w:color w:val="auto"/>
          <w:szCs w:val="21"/>
          <w:highlight w:val="none"/>
        </w:rPr>
        <w:t>以上材料须按顺序装订，复印件均须加盖供应商公章。供应商所提交的</w:t>
      </w:r>
      <w:r>
        <w:rPr>
          <w:rFonts w:hint="eastAsia" w:ascii="宋体" w:hAnsi="宋体" w:cs="宋体"/>
          <w:b/>
          <w:color w:val="auto"/>
          <w:szCs w:val="21"/>
          <w:highlight w:val="none"/>
        </w:rPr>
        <w:t>资信</w:t>
      </w:r>
      <w:r>
        <w:rPr>
          <w:rFonts w:hint="eastAsia" w:ascii="宋体" w:hAnsi="宋体" w:cs="宋体"/>
          <w:b/>
          <w:bCs/>
          <w:color w:val="auto"/>
          <w:szCs w:val="21"/>
          <w:highlight w:val="none"/>
        </w:rPr>
        <w:t>文件的完整与否，直接影响供应商的评审</w:t>
      </w:r>
      <w:r>
        <w:rPr>
          <w:rFonts w:hint="eastAsia" w:ascii="宋体" w:hAnsi="宋体" w:cs="宋体"/>
          <w:b/>
          <w:bCs/>
          <w:color w:val="auto"/>
          <w:kern w:val="0"/>
          <w:szCs w:val="21"/>
          <w:highlight w:val="none"/>
          <w:u w:val="none" w:color="000000"/>
        </w:rPr>
        <w:t>。</w:t>
      </w:r>
    </w:p>
    <w:p w14:paraId="2B4A1492">
      <w:pPr>
        <w:spacing w:line="440" w:lineRule="exact"/>
        <w:ind w:left="477" w:leftChars="227"/>
        <w:outlineLvl w:val="2"/>
        <w:rPr>
          <w:rFonts w:hint="eastAsia" w:ascii="宋体" w:hAnsi="宋体" w:cs="宋体"/>
          <w:b/>
          <w:color w:val="auto"/>
          <w:szCs w:val="21"/>
          <w:highlight w:val="none"/>
        </w:rPr>
      </w:pPr>
      <w:r>
        <w:rPr>
          <w:rFonts w:hint="eastAsia" w:ascii="宋体" w:hAnsi="宋体" w:cs="宋体"/>
          <w:b/>
          <w:color w:val="auto"/>
          <w:szCs w:val="21"/>
          <w:highlight w:val="none"/>
        </w:rPr>
        <w:t>12.2.2响应文件二（技术标）</w:t>
      </w:r>
    </w:p>
    <w:p w14:paraId="6D0E1A93">
      <w:pPr>
        <w:spacing w:line="440" w:lineRule="exact"/>
        <w:ind w:right="-1"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服务方案（包括但不限于服务方案、</w:t>
      </w:r>
      <w:r>
        <w:rPr>
          <w:rFonts w:hint="eastAsia" w:ascii="宋体" w:hAnsi="宋体" w:eastAsia="宋体" w:cs="宋体"/>
          <w:color w:val="auto"/>
          <w:kern w:val="0"/>
          <w:szCs w:val="21"/>
          <w:highlight w:val="none"/>
        </w:rPr>
        <w:t>拟投入软硬件设备</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项目背景理解及需求</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重难点应对方案、</w:t>
      </w:r>
      <w:r>
        <w:rPr>
          <w:rFonts w:hint="eastAsia" w:ascii="宋体" w:hAnsi="宋体" w:eastAsia="宋体" w:cs="宋体"/>
          <w:color w:val="auto"/>
          <w:kern w:val="0"/>
          <w:szCs w:val="21"/>
          <w:highlight w:val="none"/>
        </w:rPr>
        <w:t>实施方案</w:t>
      </w:r>
      <w:r>
        <w:rPr>
          <w:rFonts w:hint="eastAsia" w:ascii="宋体" w:hAnsi="宋体" w:eastAsia="宋体" w:cs="宋体"/>
          <w:color w:val="auto"/>
          <w:kern w:val="0"/>
          <w:szCs w:val="21"/>
          <w:highlight w:val="none"/>
          <w:lang w:eastAsia="zh-CN"/>
        </w:rPr>
        <w:t>、管理制度、</w:t>
      </w:r>
      <w:r>
        <w:rPr>
          <w:rFonts w:hint="eastAsia" w:ascii="宋体" w:hAnsi="宋体" w:eastAsia="宋体" w:cs="宋体"/>
          <w:color w:val="auto"/>
          <w:kern w:val="0"/>
          <w:szCs w:val="21"/>
          <w:highlight w:val="none"/>
        </w:rPr>
        <w:t>质量保障</w:t>
      </w:r>
      <w:r>
        <w:rPr>
          <w:rFonts w:hint="eastAsia" w:ascii="宋体" w:hAnsi="宋体" w:eastAsia="宋体" w:cs="宋体"/>
          <w:color w:val="auto"/>
          <w:kern w:val="0"/>
          <w:szCs w:val="21"/>
          <w:highlight w:val="none"/>
          <w:lang w:eastAsia="zh-CN"/>
        </w:rPr>
        <w:t>方案、</w:t>
      </w:r>
      <w:r>
        <w:rPr>
          <w:rFonts w:hint="eastAsia" w:ascii="宋体" w:hAnsi="宋体" w:eastAsia="宋体" w:cs="宋体"/>
          <w:color w:val="auto"/>
          <w:kern w:val="0"/>
          <w:szCs w:val="21"/>
          <w:highlight w:val="none"/>
        </w:rPr>
        <w:t>培训</w:t>
      </w:r>
      <w:r>
        <w:rPr>
          <w:rFonts w:hint="eastAsia" w:ascii="宋体" w:hAnsi="宋体" w:eastAsia="宋体" w:cs="宋体"/>
          <w:color w:val="auto"/>
          <w:kern w:val="0"/>
          <w:szCs w:val="21"/>
          <w:highlight w:val="none"/>
          <w:lang w:eastAsia="zh-CN"/>
        </w:rPr>
        <w:t>方案、</w:t>
      </w:r>
      <w:r>
        <w:rPr>
          <w:rFonts w:hint="eastAsia" w:ascii="宋体" w:hAnsi="宋体" w:eastAsia="宋体" w:cs="宋体"/>
          <w:color w:val="auto"/>
          <w:kern w:val="0"/>
          <w:szCs w:val="21"/>
          <w:highlight w:val="none"/>
        </w:rPr>
        <w:t>应急方案</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售后服务能力</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保密方案</w:t>
      </w:r>
      <w:r>
        <w:rPr>
          <w:rFonts w:hint="eastAsia" w:ascii="宋体" w:hAnsi="宋体" w:eastAsia="宋体" w:cs="宋体"/>
          <w:color w:val="auto"/>
          <w:kern w:val="0"/>
          <w:szCs w:val="21"/>
          <w:highlight w:val="none"/>
          <w:lang w:val="en-US" w:eastAsia="zh-CN"/>
        </w:rPr>
        <w:t>等）</w:t>
      </w:r>
      <w:r>
        <w:rPr>
          <w:rFonts w:hint="eastAsia" w:ascii="宋体" w:hAnsi="宋体" w:eastAsia="宋体" w:cs="宋体"/>
          <w:color w:val="auto"/>
          <w:kern w:val="0"/>
          <w:szCs w:val="21"/>
          <w:highlight w:val="none"/>
        </w:rPr>
        <w:t>；</w:t>
      </w:r>
    </w:p>
    <w:p w14:paraId="7556FF60">
      <w:pPr>
        <w:spacing w:line="440" w:lineRule="exact"/>
        <w:ind w:right="-1"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（2）服务承诺（格式见附件）；</w:t>
      </w:r>
    </w:p>
    <w:p w14:paraId="6651A5BE">
      <w:pPr>
        <w:spacing w:line="44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技术</w:t>
      </w:r>
      <w:r>
        <w:rPr>
          <w:rFonts w:hint="eastAsia" w:ascii="宋体" w:hAnsi="宋体" w:cs="宋体"/>
          <w:color w:val="auto"/>
          <w:szCs w:val="21"/>
          <w:highlight w:val="none"/>
        </w:rPr>
        <w:t>评审评分细则中所需要的证明材料；</w:t>
      </w:r>
    </w:p>
    <w:p w14:paraId="0E058B43">
      <w:pPr>
        <w:spacing w:line="440" w:lineRule="exact"/>
        <w:ind w:right="-1"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）供应商针对本项目认为需要提供的其他证明材料；</w:t>
      </w:r>
    </w:p>
    <w:p w14:paraId="68C8A0B1">
      <w:pPr>
        <w:spacing w:line="440" w:lineRule="exact"/>
        <w:ind w:right="-1" w:firstLine="422" w:firstLineChars="200"/>
        <w:rPr>
          <w:rFonts w:hint="eastAsia" w:ascii="宋体" w:hAnsi="宋体" w:cs="宋体"/>
          <w:color w:val="auto"/>
          <w:kern w:val="0"/>
          <w:szCs w:val="21"/>
          <w:highlight w:val="none"/>
        </w:rPr>
      </w:pPr>
      <w:r>
        <w:rPr>
          <w:rFonts w:hint="eastAsia" w:ascii="宋体" w:hAnsi="宋体" w:cs="宋体"/>
          <w:b/>
          <w:bCs/>
          <w:color w:val="auto"/>
          <w:kern w:val="0"/>
          <w:szCs w:val="21"/>
          <w:highlight w:val="none"/>
        </w:rPr>
        <w:t>以上材料须按顺序装订，均须加盖供应商公章。供应商所提交的技术文件的完整与否，直接影响供应商的评审。</w:t>
      </w:r>
    </w:p>
    <w:p w14:paraId="79F353E7">
      <w:pPr>
        <w:spacing w:line="440" w:lineRule="exact"/>
        <w:ind w:left="477" w:leftChars="227"/>
        <w:outlineLvl w:val="2"/>
        <w:rPr>
          <w:rFonts w:hint="eastAsia" w:ascii="宋体" w:hAnsi="宋体" w:cs="宋体"/>
          <w:b/>
          <w:color w:val="auto"/>
          <w:szCs w:val="21"/>
          <w:highlight w:val="none"/>
        </w:rPr>
      </w:pPr>
      <w:r>
        <w:rPr>
          <w:rFonts w:hint="eastAsia" w:ascii="宋体" w:hAnsi="宋体" w:cs="宋体"/>
          <w:b/>
          <w:color w:val="auto"/>
          <w:szCs w:val="21"/>
          <w:highlight w:val="none"/>
        </w:rPr>
        <w:t>12.2.3响应文件三（商务标）</w:t>
      </w:r>
    </w:p>
    <w:p w14:paraId="56F137E3">
      <w:pPr>
        <w:spacing w:line="440" w:lineRule="exact"/>
        <w:ind w:firstLine="411" w:firstLineChars="196"/>
        <w:rPr>
          <w:rFonts w:hint="eastAsia" w:ascii="宋体" w:hAnsi="宋体" w:cs="宋体"/>
          <w:color w:val="auto"/>
          <w:kern w:val="0"/>
          <w:szCs w:val="21"/>
          <w:highlight w:val="none"/>
          <w:u w:val="none" w:color="000000"/>
        </w:rPr>
      </w:pPr>
      <w:r>
        <w:rPr>
          <w:rFonts w:hint="eastAsia" w:ascii="宋体" w:hAnsi="宋体" w:cs="宋体"/>
          <w:color w:val="auto"/>
          <w:kern w:val="0"/>
          <w:szCs w:val="21"/>
          <w:highlight w:val="none"/>
          <w:u w:val="none" w:color="000000"/>
        </w:rPr>
        <w:t>（1）开标一览表（格式见附件）；</w:t>
      </w:r>
    </w:p>
    <w:p w14:paraId="54D31CB7">
      <w:pPr>
        <w:spacing w:line="440" w:lineRule="exact"/>
        <w:ind w:firstLine="411" w:firstLineChars="196"/>
        <w:rPr>
          <w:rFonts w:hint="eastAsia" w:ascii="宋体" w:hAnsi="宋体" w:cs="宋体"/>
          <w:color w:val="auto"/>
          <w:kern w:val="0"/>
          <w:szCs w:val="21"/>
          <w:highlight w:val="none"/>
          <w:u w:val="none" w:color="000000"/>
        </w:rPr>
      </w:pPr>
      <w:r>
        <w:rPr>
          <w:rFonts w:hint="eastAsia" w:ascii="宋体" w:hAnsi="宋体" w:cs="宋体"/>
          <w:color w:val="auto"/>
          <w:kern w:val="0"/>
          <w:szCs w:val="21"/>
          <w:highlight w:val="none"/>
          <w:u w:val="none" w:color="000000"/>
        </w:rPr>
        <w:t>（2）磋商响应函（格式见附件）；</w:t>
      </w:r>
    </w:p>
    <w:p w14:paraId="1E9C33F8">
      <w:pPr>
        <w:spacing w:line="440" w:lineRule="exact"/>
        <w:ind w:firstLine="411" w:firstLineChars="196"/>
        <w:rPr>
          <w:rFonts w:hint="eastAsia"/>
          <w:color w:val="auto"/>
          <w:highlight w:val="none"/>
        </w:rPr>
      </w:pPr>
      <w:r>
        <w:rPr>
          <w:rFonts w:hint="eastAsia" w:ascii="宋体" w:hAnsi="宋体" w:cs="宋体"/>
          <w:color w:val="auto"/>
          <w:kern w:val="0"/>
          <w:szCs w:val="21"/>
          <w:highlight w:val="none"/>
          <w:u w:val="none" w:color="000000"/>
        </w:rPr>
        <w:t>（</w:t>
      </w:r>
      <w:r>
        <w:rPr>
          <w:rFonts w:hint="eastAsia" w:ascii="宋体" w:hAnsi="宋体" w:cs="宋体"/>
          <w:color w:val="auto"/>
          <w:kern w:val="0"/>
          <w:szCs w:val="21"/>
          <w:highlight w:val="none"/>
          <w:u w:val="none" w:color="000000"/>
          <w:lang w:val="en-US" w:eastAsia="zh-CN"/>
        </w:rPr>
        <w:t>3</w:t>
      </w:r>
      <w:r>
        <w:rPr>
          <w:rFonts w:hint="eastAsia" w:ascii="宋体" w:hAnsi="宋体" w:cs="宋体"/>
          <w:color w:val="auto"/>
          <w:kern w:val="0"/>
          <w:szCs w:val="21"/>
          <w:highlight w:val="none"/>
          <w:u w:val="none" w:color="000000"/>
        </w:rPr>
        <w:t>）</w:t>
      </w:r>
      <w:r>
        <w:rPr>
          <w:rFonts w:hint="eastAsia" w:ascii="宋体" w:hAnsi="宋体" w:cs="宋体"/>
          <w:color w:val="auto"/>
          <w:kern w:val="0"/>
          <w:szCs w:val="21"/>
          <w:highlight w:val="none"/>
          <w:u w:val="none" w:color="000000"/>
          <w:lang w:val="en-US" w:eastAsia="zh-CN"/>
        </w:rPr>
        <w:t>分项报价清单</w:t>
      </w:r>
      <w:r>
        <w:rPr>
          <w:rFonts w:hint="eastAsia" w:ascii="宋体" w:hAnsi="宋体" w:cs="宋体"/>
          <w:color w:val="auto"/>
          <w:kern w:val="0"/>
          <w:szCs w:val="21"/>
          <w:highlight w:val="none"/>
          <w:u w:val="none" w:color="000000"/>
        </w:rPr>
        <w:t>（格式见附件）；</w:t>
      </w:r>
    </w:p>
    <w:p w14:paraId="7E941CAF">
      <w:pPr>
        <w:spacing w:line="440" w:lineRule="exact"/>
        <w:ind w:firstLine="411" w:firstLineChars="196"/>
        <w:rPr>
          <w:rFonts w:hint="eastAsia" w:ascii="宋体" w:hAnsi="宋体" w:cs="宋体"/>
          <w:color w:val="auto"/>
          <w:kern w:val="0"/>
          <w:szCs w:val="21"/>
          <w:highlight w:val="none"/>
          <w:u w:val="none" w:color="000000"/>
        </w:rPr>
      </w:pPr>
      <w:r>
        <w:rPr>
          <w:rFonts w:hint="eastAsia" w:ascii="宋体" w:hAnsi="宋体" w:cs="宋体"/>
          <w:color w:val="auto"/>
          <w:kern w:val="0"/>
          <w:szCs w:val="21"/>
          <w:highlight w:val="none"/>
          <w:u w:val="none" w:color="000000"/>
        </w:rPr>
        <w:t>（</w:t>
      </w:r>
      <w:r>
        <w:rPr>
          <w:rFonts w:hint="eastAsia" w:ascii="宋体" w:hAnsi="宋体" w:cs="宋体"/>
          <w:color w:val="auto"/>
          <w:kern w:val="0"/>
          <w:szCs w:val="21"/>
          <w:highlight w:val="none"/>
          <w:u w:val="none" w:color="000000"/>
          <w:lang w:val="en-US" w:eastAsia="zh-CN"/>
        </w:rPr>
        <w:t>4</w:t>
      </w:r>
      <w:r>
        <w:rPr>
          <w:rFonts w:hint="eastAsia" w:ascii="宋体" w:hAnsi="宋体" w:cs="宋体"/>
          <w:color w:val="auto"/>
          <w:kern w:val="0"/>
          <w:szCs w:val="21"/>
          <w:highlight w:val="none"/>
          <w:u w:val="none" w:color="000000"/>
        </w:rPr>
        <w:t>）供应商针对本项目认为需要提供的其他证明材料。</w:t>
      </w:r>
    </w:p>
    <w:p w14:paraId="34F0C55F">
      <w:pPr>
        <w:spacing w:line="44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以上材料须按顺序装订，复印件均须加盖供应商公章。供应商所提交的商务标文件的完整与否，直接影响供应商的评审。</w:t>
      </w:r>
    </w:p>
    <w:p w14:paraId="447CE78D">
      <w:pPr>
        <w:spacing w:line="44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14.2除非注明“供应商可自行制作格式”，响应文件应使用磋商文件提供的格式。</w:t>
      </w:r>
    </w:p>
    <w:p w14:paraId="6279B17D">
      <w:pPr>
        <w:spacing w:line="44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14.3除专用术语外，响应文件以及供应商与采购人就有关磋商的往来函电均应使用中文。供应商提交的支持性文件和印制的文件可以用另一种语言，但相应内容应翻译成中文，对不同文字文本响应文件的解释发生异议的，以中文文本为准。</w:t>
      </w:r>
    </w:p>
    <w:p w14:paraId="7C83E849">
      <w:pPr>
        <w:spacing w:line="44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14.4除非磋商文件另有规定，响应文件应使用中华人民共和国法定计量单位。</w:t>
      </w:r>
    </w:p>
    <w:p w14:paraId="07E17304">
      <w:pPr>
        <w:spacing w:line="44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14.5除非磋商文件另有规定，响应文件应使用人民币填报所有报价。允许以多种货币报价的，或涉及合同金额等计算的，均按照中国人民银行在磋商当日公布的汇率中间价换算成人民币。公司注册资本为外币，须折算成人民币的，按照公司成立日期当日（以营业执照注明的成立日期为准）中国人民银行公布的汇率的中间价计算（供应商应提供成立日期当日中国人民银行公布的汇率的中间价作为参考）。</w:t>
      </w:r>
    </w:p>
    <w:p w14:paraId="3ADBACEC">
      <w:pPr>
        <w:spacing w:line="44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14.6供应商资质证书（或资格证明）处于年检、换证、升级、变更等期间，除非法律法规或发证机构有书面材料明确表明供应商资质（或资格）有效，否则一律不予认可。</w:t>
      </w:r>
    </w:p>
    <w:p w14:paraId="31BCFE36">
      <w:pPr>
        <w:spacing w:line="44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14.7采购人保留要求成交供应商提供其响应文件电子版的权利。</w:t>
      </w:r>
    </w:p>
    <w:p w14:paraId="7A78DA15">
      <w:pPr>
        <w:spacing w:line="44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14.8采购代理机构一律不予退还供应商的响应文件。</w:t>
      </w:r>
    </w:p>
    <w:p w14:paraId="419254E3">
      <w:pPr>
        <w:numPr>
          <w:ilvl w:val="0"/>
          <w:numId w:val="5"/>
        </w:numPr>
        <w:spacing w:line="440" w:lineRule="exact"/>
        <w:ind w:firstLine="413" w:firstLineChars="196"/>
        <w:outlineLvl w:val="1"/>
        <w:rPr>
          <w:rFonts w:hint="eastAsia" w:ascii="宋体" w:hAnsi="宋体" w:cs="宋体"/>
          <w:b/>
          <w:color w:val="auto"/>
          <w:szCs w:val="21"/>
          <w:highlight w:val="none"/>
        </w:rPr>
      </w:pPr>
      <w:r>
        <w:rPr>
          <w:rFonts w:hint="eastAsia" w:ascii="宋体" w:hAnsi="宋体" w:cs="宋体"/>
          <w:b/>
          <w:color w:val="auto"/>
          <w:szCs w:val="21"/>
          <w:highlight w:val="none"/>
        </w:rPr>
        <w:t>报价</w:t>
      </w:r>
    </w:p>
    <w:p w14:paraId="1E00276E">
      <w:pPr>
        <w:spacing w:line="44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15.1供应商应以“包”为报价的基本单位。除非磋商文件另有规定，若整个需求分为若干包，则供应商可选择其中的部分或所有包报价。包内所有项目均应报价（赠送的除外）。</w:t>
      </w:r>
    </w:p>
    <w:p w14:paraId="2369F8F3">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15.2磋商报价为供应商在磋商文件中提出的各项支付金额的总和。包括本次磋商全部内容及工期的成本、利润、税金、运输费、损耗等所有费用。技术规范要求的费用也应包括在磋商报价中，供应商应在响应文件中注明拟提供货物或服务的单价明细和总价。</w:t>
      </w:r>
    </w:p>
    <w:p w14:paraId="18AF4182">
      <w:pPr>
        <w:spacing w:line="440" w:lineRule="exact"/>
        <w:ind w:firstLine="420" w:firstLineChars="200"/>
        <w:rPr>
          <w:rFonts w:hint="eastAsia" w:ascii="宋体" w:hAnsi="宋体" w:cs="宋体"/>
          <w:i/>
          <w:color w:val="auto"/>
          <w:szCs w:val="21"/>
          <w:highlight w:val="none"/>
        </w:rPr>
      </w:pPr>
      <w:r>
        <w:rPr>
          <w:rFonts w:hint="eastAsia" w:ascii="宋体" w:hAnsi="宋体" w:cs="宋体"/>
          <w:color w:val="auto"/>
          <w:szCs w:val="21"/>
          <w:highlight w:val="none"/>
        </w:rPr>
        <w:t>15.3报价应当低于同类货物和服务的市场平均价格。除非磋商文件另有规定或经采购人同意支付的，最终报价均不得高于磋商文件（公告）列明的控制价、项目预算。</w:t>
      </w:r>
    </w:p>
    <w:p w14:paraId="6141C587">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15.4供应商应在响应文件中注明拟提供货物或服务的单价明细和总价。如果有计算或累加上的算术错误，将按以下方法进行修正：</w:t>
      </w:r>
    </w:p>
    <w:p w14:paraId="40610105">
      <w:pPr>
        <w:spacing w:line="440" w:lineRule="exact"/>
        <w:ind w:firstLine="550"/>
        <w:rPr>
          <w:rFonts w:hint="eastAsia" w:ascii="宋体" w:hAnsi="宋体" w:cs="宋体"/>
          <w:color w:val="auto"/>
          <w:szCs w:val="21"/>
          <w:highlight w:val="none"/>
        </w:rPr>
      </w:pPr>
      <w:r>
        <w:rPr>
          <w:rFonts w:hint="eastAsia" w:ascii="宋体" w:hAnsi="宋体" w:cs="宋体"/>
          <w:color w:val="auto"/>
          <w:szCs w:val="21"/>
          <w:highlight w:val="none"/>
        </w:rPr>
        <w:t>（1）如单价累计与总价不符，以单价累计为准；</w:t>
      </w:r>
    </w:p>
    <w:p w14:paraId="0127CF90">
      <w:pPr>
        <w:spacing w:line="440" w:lineRule="exact"/>
        <w:ind w:firstLine="550"/>
        <w:rPr>
          <w:rFonts w:hint="eastAsia" w:ascii="宋体" w:hAnsi="宋体" w:cs="宋体"/>
          <w:color w:val="auto"/>
          <w:szCs w:val="21"/>
          <w:highlight w:val="none"/>
        </w:rPr>
      </w:pPr>
      <w:r>
        <w:rPr>
          <w:rFonts w:hint="eastAsia" w:ascii="宋体" w:hAnsi="宋体" w:cs="宋体"/>
          <w:color w:val="auto"/>
          <w:szCs w:val="21"/>
          <w:highlight w:val="none"/>
        </w:rPr>
        <w:t>（2）小写与大写不符，以大写为准。</w:t>
      </w:r>
    </w:p>
    <w:p w14:paraId="549FA26D">
      <w:pPr>
        <w:spacing w:line="440" w:lineRule="exact"/>
        <w:ind w:firstLine="550"/>
        <w:rPr>
          <w:rFonts w:hint="eastAsia" w:ascii="宋体" w:hAnsi="宋体" w:cs="宋体"/>
          <w:color w:val="auto"/>
          <w:szCs w:val="21"/>
          <w:highlight w:val="none"/>
        </w:rPr>
      </w:pPr>
      <w:r>
        <w:rPr>
          <w:rFonts w:hint="eastAsia" w:ascii="宋体" w:hAnsi="宋体" w:cs="宋体"/>
          <w:color w:val="auto"/>
          <w:szCs w:val="21"/>
          <w:highlight w:val="none"/>
        </w:rPr>
        <w:t>15.5除非磋商文件另有规定，每一包只允许有一个最终报价，任何有选择的报价或替代方案将导致响应文件无效。</w:t>
      </w:r>
    </w:p>
    <w:p w14:paraId="1F172F69">
      <w:pPr>
        <w:spacing w:line="440" w:lineRule="exact"/>
        <w:ind w:firstLine="516" w:firstLineChars="246"/>
        <w:rPr>
          <w:rFonts w:hint="eastAsia" w:ascii="宋体" w:hAnsi="宋体" w:cs="宋体"/>
          <w:color w:val="auto"/>
          <w:szCs w:val="21"/>
          <w:highlight w:val="none"/>
        </w:rPr>
      </w:pPr>
      <w:r>
        <w:rPr>
          <w:rFonts w:hint="eastAsia" w:ascii="宋体" w:hAnsi="宋体" w:cs="宋体"/>
          <w:color w:val="auto"/>
          <w:szCs w:val="21"/>
          <w:highlight w:val="none"/>
        </w:rPr>
        <w:t>15.6采购人不建议供应商采用总价优惠或以总价百分比优惠的方式进行磋商报价，其优惠可直接计算并体现在各项磋商报价的单价中。</w:t>
      </w:r>
    </w:p>
    <w:p w14:paraId="7DC513F1">
      <w:pPr>
        <w:spacing w:line="440" w:lineRule="exact"/>
        <w:ind w:firstLine="516" w:firstLineChars="246"/>
        <w:rPr>
          <w:rFonts w:hint="eastAsia" w:ascii="宋体" w:hAnsi="宋体" w:cs="宋体"/>
          <w:color w:val="auto"/>
          <w:szCs w:val="21"/>
          <w:highlight w:val="none"/>
        </w:rPr>
      </w:pPr>
      <w:r>
        <w:rPr>
          <w:rFonts w:hint="eastAsia" w:ascii="宋体" w:hAnsi="宋体" w:cs="宋体"/>
          <w:color w:val="auto"/>
          <w:szCs w:val="21"/>
          <w:highlight w:val="none"/>
        </w:rPr>
        <w:t>15.7除非磋商文件另有规定，报价原则精确到小数点后两位，如不足两位，按照两位计算，如超出两位，按照四舍五入方式计算至小数点后两位（报价单位按磋商文件约定）。</w:t>
      </w:r>
    </w:p>
    <w:p w14:paraId="199CCA8B">
      <w:pPr>
        <w:spacing w:line="440" w:lineRule="exact"/>
        <w:ind w:firstLine="516" w:firstLineChars="246"/>
        <w:rPr>
          <w:rFonts w:hint="eastAsia" w:ascii="宋体" w:hAnsi="宋体" w:cs="宋体"/>
          <w:color w:val="auto"/>
          <w:szCs w:val="21"/>
          <w:highlight w:val="none"/>
        </w:rPr>
      </w:pPr>
      <w:r>
        <w:rPr>
          <w:rFonts w:hint="eastAsia" w:ascii="宋体" w:hAnsi="宋体" w:cs="宋体"/>
          <w:color w:val="auto"/>
          <w:szCs w:val="21"/>
          <w:highlight w:val="none"/>
        </w:rPr>
        <w:t>15.8除国家政策性文件规定以外，供应商所报价格在合同实施期间不因市场变化因素而变动。</w:t>
      </w:r>
    </w:p>
    <w:p w14:paraId="3F18F06E">
      <w:pPr>
        <w:spacing w:line="440" w:lineRule="exact"/>
        <w:ind w:firstLine="519" w:firstLineChars="246"/>
        <w:outlineLvl w:val="1"/>
        <w:rPr>
          <w:rFonts w:hint="eastAsia" w:ascii="宋体" w:hAnsi="宋体" w:cs="宋体"/>
          <w:b/>
          <w:color w:val="auto"/>
          <w:szCs w:val="21"/>
          <w:highlight w:val="none"/>
        </w:rPr>
      </w:pPr>
      <w:r>
        <w:rPr>
          <w:rFonts w:hint="eastAsia" w:ascii="宋体" w:hAnsi="宋体" w:cs="宋体"/>
          <w:b/>
          <w:color w:val="auto"/>
          <w:szCs w:val="21"/>
          <w:highlight w:val="none"/>
        </w:rPr>
        <w:t>16.响应文件内容填写及说明</w:t>
      </w:r>
    </w:p>
    <w:p w14:paraId="4450BBE5">
      <w:pPr>
        <w:spacing w:line="440" w:lineRule="exact"/>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16.1响应文件须对磋商文件载明的供应商资格、技术、资信、服务、报价等全部要求和条件做出实质性和完整的响应，如果响应文件填报的内容资料不详，或没有提供磋商文件所要求的全部资料、证明及数据，将导致响应无效。</w:t>
      </w:r>
    </w:p>
    <w:p w14:paraId="2AB0046D">
      <w:pPr>
        <w:spacing w:line="440" w:lineRule="exact"/>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16.2供应商应在响应文件中提交磋商文件要求的有关证明文件，作为其响应文件的一部分。</w:t>
      </w:r>
    </w:p>
    <w:p w14:paraId="03BAB6C8">
      <w:pPr>
        <w:spacing w:line="440" w:lineRule="exact"/>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16.3供应商应在响应文件中提交磋商文件要求的所有货物或服务的合格性以及符合磋商文件规定的证明文件（可以是手册、图纸和资料等），并作为其响应文件的一部分。包括：</w:t>
      </w:r>
    </w:p>
    <w:p w14:paraId="79E291A2">
      <w:pPr>
        <w:spacing w:line="440" w:lineRule="exact"/>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16.3.1保证所投服务正常、安全、连续运行期间所需的所有备品、备件及专用工具的详细清单。</w:t>
      </w:r>
    </w:p>
    <w:p w14:paraId="29E67B23">
      <w:pPr>
        <w:spacing w:line="440" w:lineRule="exact"/>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16.4响应文件应字迹清楚、编排有序、内容齐全、不得涂改或增删。如有错漏处必须修改，应在修改处加盖供应商公章。</w:t>
      </w:r>
    </w:p>
    <w:p w14:paraId="7DF644F1">
      <w:pPr>
        <w:spacing w:line="440" w:lineRule="exact"/>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16.5供应商应根据其响应文件中报价表的内容填写唱标信息，唱标信息不作为评审的依据。唱标信息与报价表不一致的，以报价表为准。</w:t>
      </w:r>
    </w:p>
    <w:p w14:paraId="76A13567">
      <w:pPr>
        <w:spacing w:line="440" w:lineRule="exact"/>
        <w:ind w:firstLine="413" w:firstLineChars="196"/>
        <w:outlineLvl w:val="1"/>
        <w:rPr>
          <w:rFonts w:hint="eastAsia" w:ascii="宋体" w:hAnsi="宋体" w:cs="宋体"/>
          <w:b/>
          <w:color w:val="auto"/>
          <w:szCs w:val="21"/>
          <w:highlight w:val="none"/>
        </w:rPr>
      </w:pPr>
      <w:r>
        <w:rPr>
          <w:rFonts w:hint="eastAsia" w:ascii="宋体" w:hAnsi="宋体" w:cs="宋体"/>
          <w:b/>
          <w:color w:val="auto"/>
          <w:szCs w:val="21"/>
          <w:highlight w:val="none"/>
        </w:rPr>
        <w:t>17.磋商保证金（本项目不采用）</w:t>
      </w:r>
    </w:p>
    <w:p w14:paraId="033ACDF2">
      <w:pPr>
        <w:spacing w:line="44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17.1磋商前，供应商应向采购人提交磋商须知前附表规定金额及交纳方式的磋商保证金，作为响应文件的一部分。磋商前，采购代理机构将</w:t>
      </w:r>
      <w:r>
        <w:rPr>
          <w:rFonts w:hint="eastAsia" w:ascii="宋体" w:hAnsi="宋体" w:cs="宋体"/>
          <w:color w:val="auto"/>
          <w:kern w:val="0"/>
          <w:szCs w:val="21"/>
          <w:highlight w:val="none"/>
        </w:rPr>
        <w:t>查询磋商保证金信息，并提交磋商小组评审</w:t>
      </w:r>
      <w:r>
        <w:rPr>
          <w:rFonts w:hint="eastAsia" w:ascii="宋体" w:hAnsi="宋体" w:cs="宋体"/>
          <w:color w:val="auto"/>
          <w:szCs w:val="21"/>
          <w:highlight w:val="none"/>
        </w:rPr>
        <w:t>，核对磋商保证金金额、方式等信息。</w:t>
      </w:r>
    </w:p>
    <w:p w14:paraId="0478A036">
      <w:pPr>
        <w:spacing w:line="440" w:lineRule="exact"/>
        <w:ind w:firstLine="411" w:firstLineChars="196"/>
        <w:outlineLvl w:val="2"/>
        <w:rPr>
          <w:rFonts w:hint="eastAsia" w:ascii="宋体" w:hAnsi="宋体" w:cs="宋体"/>
          <w:color w:val="auto"/>
          <w:szCs w:val="21"/>
          <w:highlight w:val="none"/>
        </w:rPr>
      </w:pPr>
      <w:r>
        <w:rPr>
          <w:rFonts w:hint="eastAsia" w:ascii="宋体" w:hAnsi="宋体" w:cs="宋体"/>
          <w:color w:val="auto"/>
          <w:szCs w:val="21"/>
          <w:highlight w:val="none"/>
        </w:rPr>
        <w:t>17.2磋商保证金采取下列形式：</w:t>
      </w:r>
    </w:p>
    <w:p w14:paraId="34A06B92">
      <w:pPr>
        <w:spacing w:line="44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供应商应向采购人提交磋商须知前附表规定金额及交纳方式的磋商保证金。</w:t>
      </w:r>
    </w:p>
    <w:p w14:paraId="27699036">
      <w:pPr>
        <w:spacing w:line="44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17.3联合体磋商的，可以由联合体中的一方或者共同提交磋商保证金，以一方名义提交保证金的，对联合体各方均具有约束力。</w:t>
      </w:r>
    </w:p>
    <w:p w14:paraId="496B7DDE">
      <w:pPr>
        <w:spacing w:line="440" w:lineRule="exact"/>
        <w:ind w:firstLine="411" w:firstLineChars="196"/>
        <w:outlineLvl w:val="2"/>
        <w:rPr>
          <w:rFonts w:hint="eastAsia" w:ascii="宋体" w:hAnsi="宋体" w:cs="宋体"/>
          <w:color w:val="auto"/>
          <w:szCs w:val="21"/>
          <w:highlight w:val="none"/>
        </w:rPr>
      </w:pPr>
      <w:r>
        <w:rPr>
          <w:rFonts w:hint="eastAsia" w:ascii="宋体" w:hAnsi="宋体" w:cs="宋体"/>
          <w:color w:val="auto"/>
          <w:szCs w:val="21"/>
          <w:highlight w:val="none"/>
        </w:rPr>
        <w:t>17.4未按要求提交磋商保证金的，磋商无效。</w:t>
      </w:r>
    </w:p>
    <w:p w14:paraId="4DF202CA">
      <w:pPr>
        <w:spacing w:line="44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17.5采购代理机构将在磋商结束后退还未成交供应商的磋商保证金，在采购合同签订后五个工作日内退还成交供应商的磋商保证金。</w:t>
      </w:r>
    </w:p>
    <w:p w14:paraId="54DBDD6D">
      <w:pPr>
        <w:spacing w:line="440" w:lineRule="exact"/>
        <w:ind w:firstLine="411" w:firstLineChars="196"/>
        <w:outlineLvl w:val="2"/>
        <w:rPr>
          <w:rFonts w:hint="eastAsia" w:ascii="宋体" w:hAnsi="宋体" w:cs="宋体"/>
          <w:color w:val="auto"/>
          <w:szCs w:val="21"/>
          <w:highlight w:val="none"/>
        </w:rPr>
      </w:pPr>
      <w:r>
        <w:rPr>
          <w:rFonts w:hint="eastAsia" w:ascii="宋体" w:hAnsi="宋体" w:cs="宋体"/>
          <w:color w:val="auto"/>
          <w:szCs w:val="21"/>
          <w:highlight w:val="none"/>
        </w:rPr>
        <w:t>17.7下列任何情况发生时，磋商保证金将不予退还：</w:t>
      </w:r>
    </w:p>
    <w:p w14:paraId="28E69CB6">
      <w:pPr>
        <w:spacing w:line="44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（1）供应商在提交响应文件截止时间后撤回响应文件的；</w:t>
      </w:r>
    </w:p>
    <w:p w14:paraId="314EEE0D">
      <w:pPr>
        <w:spacing w:line="44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（2）供应商在响应文件中提供虚假材料的；</w:t>
      </w:r>
    </w:p>
    <w:p w14:paraId="0637C998">
      <w:pPr>
        <w:spacing w:line="44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（3）除因不可抗力或磋商文件认可的情形以外，成交供应商放弃成交资格或不与采购人签订合同的；</w:t>
      </w:r>
    </w:p>
    <w:p w14:paraId="5D62CC6A">
      <w:pPr>
        <w:spacing w:line="440" w:lineRule="exact"/>
        <w:ind w:firstLine="411" w:firstLineChars="196"/>
        <w:outlineLvl w:val="3"/>
        <w:rPr>
          <w:rFonts w:hint="eastAsia" w:ascii="宋体" w:hAnsi="宋体" w:cs="宋体"/>
          <w:color w:val="auto"/>
          <w:szCs w:val="21"/>
          <w:highlight w:val="none"/>
        </w:rPr>
      </w:pPr>
      <w:r>
        <w:rPr>
          <w:rFonts w:hint="eastAsia" w:ascii="宋体" w:hAnsi="宋体" w:cs="宋体"/>
          <w:color w:val="auto"/>
          <w:szCs w:val="21"/>
          <w:highlight w:val="none"/>
        </w:rPr>
        <w:t>（4）供应商与采购人、其他供应商或者采购代理机构恶意串通的。</w:t>
      </w:r>
    </w:p>
    <w:p w14:paraId="0F4F1AD4">
      <w:pPr>
        <w:spacing w:line="440" w:lineRule="exact"/>
        <w:ind w:firstLine="413" w:firstLineChars="196"/>
        <w:outlineLvl w:val="1"/>
        <w:rPr>
          <w:rFonts w:hint="eastAsia" w:ascii="宋体" w:hAnsi="宋体" w:cs="宋体"/>
          <w:b/>
          <w:color w:val="auto"/>
          <w:szCs w:val="21"/>
          <w:highlight w:val="none"/>
        </w:rPr>
      </w:pPr>
      <w:r>
        <w:rPr>
          <w:rFonts w:hint="eastAsia" w:ascii="宋体" w:hAnsi="宋体" w:cs="宋体"/>
          <w:b/>
          <w:color w:val="auto"/>
          <w:szCs w:val="21"/>
          <w:highlight w:val="none"/>
        </w:rPr>
        <w:t>18.磋商有效期</w:t>
      </w:r>
    </w:p>
    <w:p w14:paraId="3BD04B42">
      <w:pPr>
        <w:spacing w:line="44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18.1为保证采购人有足够的时间完成评标和与成交供应商签订合同，规定磋商有效期。磋商有效期期限见磋商须知前附表。</w:t>
      </w:r>
    </w:p>
    <w:p w14:paraId="7262D594">
      <w:pPr>
        <w:spacing w:line="44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18.2在磋商有效期内，供应商的磋商保持有效，供应商不得要求撤销或修改其响应文件。</w:t>
      </w:r>
    </w:p>
    <w:p w14:paraId="0C35F770">
      <w:pPr>
        <w:spacing w:line="440" w:lineRule="exact"/>
        <w:ind w:firstLine="411" w:firstLineChars="196"/>
        <w:outlineLvl w:val="2"/>
        <w:rPr>
          <w:rFonts w:hint="eastAsia" w:ascii="宋体" w:hAnsi="宋体" w:cs="宋体"/>
          <w:color w:val="auto"/>
          <w:szCs w:val="21"/>
          <w:highlight w:val="none"/>
        </w:rPr>
      </w:pPr>
      <w:r>
        <w:rPr>
          <w:rFonts w:hint="eastAsia" w:ascii="宋体" w:hAnsi="宋体" w:cs="宋体"/>
          <w:color w:val="auto"/>
          <w:szCs w:val="21"/>
          <w:highlight w:val="none"/>
        </w:rPr>
        <w:t>18.3磋商有效期从响应文件提交截止日起计算。</w:t>
      </w:r>
    </w:p>
    <w:p w14:paraId="4C9000BC">
      <w:pPr>
        <w:spacing w:line="44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18.4在原定磋商有效期满之前，如果出现特殊情况，采购人可以书面形式提出延长磋商有效期的要求。供应商以书面形式予以答复，供应商可以拒绝这种要求而不被没收磋商保证金。同意延长磋商有效期的供应商不允许修改其响应文件的实质性内容，且需要相应地延长磋商保证金的有效期。</w:t>
      </w:r>
    </w:p>
    <w:p w14:paraId="19CA9004">
      <w:pPr>
        <w:spacing w:line="440" w:lineRule="exact"/>
        <w:ind w:firstLine="211" w:firstLineChars="100"/>
        <w:outlineLvl w:val="1"/>
        <w:rPr>
          <w:rFonts w:hint="eastAsia" w:ascii="宋体" w:hAnsi="宋体" w:cs="宋体"/>
          <w:b/>
          <w:color w:val="auto"/>
          <w:szCs w:val="21"/>
          <w:highlight w:val="none"/>
        </w:rPr>
      </w:pPr>
      <w:r>
        <w:rPr>
          <w:rFonts w:hint="eastAsia" w:ascii="宋体" w:hAnsi="宋体" w:cs="宋体"/>
          <w:b/>
          <w:color w:val="auto"/>
          <w:szCs w:val="21"/>
          <w:highlight w:val="none"/>
        </w:rPr>
        <w:t>19.响应文件份数</w:t>
      </w:r>
    </w:p>
    <w:p w14:paraId="0AAAA241">
      <w:pPr>
        <w:pStyle w:val="96"/>
        <w:snapToGrid w:val="0"/>
        <w:spacing w:line="440" w:lineRule="exact"/>
        <w:ind w:firstLine="210" w:firstLineChars="100"/>
        <w:outlineLvl w:val="2"/>
        <w:rPr>
          <w:rFonts w:hint="eastAsia" w:ascii="宋体" w:hAnsi="宋体" w:cs="宋体"/>
          <w:color w:val="auto"/>
          <w:szCs w:val="21"/>
          <w:highlight w:val="none"/>
        </w:rPr>
      </w:pPr>
      <w:bookmarkStart w:id="15" w:name="_Toc448214140"/>
      <w:bookmarkStart w:id="16" w:name="_Toc214693600"/>
      <w:bookmarkStart w:id="17" w:name="_Toc463042679"/>
      <w:r>
        <w:rPr>
          <w:rFonts w:hint="eastAsia" w:ascii="宋体" w:hAnsi="宋体" w:cs="宋体"/>
          <w:color w:val="auto"/>
          <w:szCs w:val="21"/>
          <w:highlight w:val="none"/>
        </w:rPr>
        <w:t>19.1供应商应按照磋商须知前附表的要求准备响应文件。</w:t>
      </w:r>
    </w:p>
    <w:p w14:paraId="7B517D44">
      <w:pPr>
        <w:pStyle w:val="6"/>
        <w:spacing w:before="156" w:beforeLines="50" w:after="156" w:afterLines="50" w:line="440" w:lineRule="exact"/>
        <w:jc w:val="center"/>
        <w:rPr>
          <w:rFonts w:hint="eastAsia" w:ascii="宋体" w:hAnsi="宋体" w:eastAsia="宋体" w:cs="宋体"/>
          <w:color w:val="auto"/>
          <w:sz w:val="28"/>
          <w:szCs w:val="28"/>
          <w:highlight w:val="none"/>
        </w:rPr>
      </w:pPr>
      <w:bookmarkStart w:id="18" w:name="_Toc519783886"/>
      <w:r>
        <w:rPr>
          <w:rFonts w:hint="eastAsia" w:ascii="宋体" w:hAnsi="宋体" w:eastAsia="宋体" w:cs="宋体"/>
          <w:color w:val="auto"/>
          <w:sz w:val="28"/>
          <w:szCs w:val="28"/>
          <w:highlight w:val="none"/>
        </w:rPr>
        <w:t>（四）响应文件的</w:t>
      </w:r>
      <w:bookmarkEnd w:id="15"/>
      <w:bookmarkEnd w:id="16"/>
      <w:r>
        <w:rPr>
          <w:rFonts w:hint="eastAsia" w:ascii="宋体" w:hAnsi="宋体" w:eastAsia="宋体" w:cs="宋体"/>
          <w:color w:val="auto"/>
          <w:sz w:val="28"/>
          <w:szCs w:val="28"/>
          <w:highlight w:val="none"/>
        </w:rPr>
        <w:t>提交</w:t>
      </w:r>
      <w:bookmarkEnd w:id="17"/>
      <w:bookmarkEnd w:id="18"/>
    </w:p>
    <w:p w14:paraId="5DD1E670">
      <w:pPr>
        <w:spacing w:line="440" w:lineRule="exact"/>
        <w:ind w:firstLine="422" w:firstLineChars="200"/>
        <w:outlineLvl w:val="1"/>
        <w:rPr>
          <w:rFonts w:hint="eastAsia" w:ascii="宋体" w:hAnsi="宋体" w:cs="宋体"/>
          <w:b/>
          <w:color w:val="auto"/>
          <w:szCs w:val="21"/>
          <w:highlight w:val="none"/>
        </w:rPr>
      </w:pPr>
      <w:r>
        <w:rPr>
          <w:rFonts w:hint="eastAsia" w:ascii="宋体" w:hAnsi="宋体" w:cs="宋体"/>
          <w:b/>
          <w:color w:val="auto"/>
          <w:szCs w:val="21"/>
          <w:highlight w:val="none"/>
        </w:rPr>
        <w:t>20.响应文件的封装和标记</w:t>
      </w:r>
    </w:p>
    <w:p w14:paraId="705C2D6A">
      <w:pPr>
        <w:spacing w:line="440" w:lineRule="exact"/>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20.1正/副本需采用胶装（或其他）方式装订，供应商应当保证其封装的可靠性，不得因搬运、堆放等原因散开。资格证明文件正副本密封在资格证明文件袋内，技术标正副本密封在技术标文件袋内，商务标正副本密封在商务标文件袋内。磋商书封面及封皮的右上角标明“正本”或“副本”的字样。一旦正本与副本不符，以正本为主。</w:t>
      </w:r>
    </w:p>
    <w:p w14:paraId="2C69841B">
      <w:pPr>
        <w:spacing w:line="440" w:lineRule="exact"/>
        <w:ind w:firstLine="420" w:firstLineChars="200"/>
        <w:outlineLvl w:val="2"/>
        <w:rPr>
          <w:rFonts w:hint="eastAsia" w:ascii="宋体" w:hAnsi="宋体" w:cs="宋体"/>
          <w:color w:val="auto"/>
          <w:szCs w:val="21"/>
          <w:highlight w:val="none"/>
        </w:rPr>
      </w:pPr>
      <w:r>
        <w:rPr>
          <w:rFonts w:hint="eastAsia" w:ascii="宋体" w:hAnsi="宋体" w:cs="宋体"/>
          <w:color w:val="auto"/>
          <w:szCs w:val="21"/>
          <w:highlight w:val="none"/>
        </w:rPr>
        <w:t>20.2 密封袋均应使用不易破损的包装材料进行包装。</w:t>
      </w:r>
    </w:p>
    <w:p w14:paraId="4F9A17D7">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注明项目名称、采购编号、正本或副本及“请勿在  年  月  日  时   分（开标时间，详见“磋商须知前附表”的规定）之前启封”的字样。</w:t>
      </w:r>
    </w:p>
    <w:p w14:paraId="55A0FCE1">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20.3 供应商应在内外密封袋上写明自己名称和地址，以便其磋商文件晚于磋商截止时间到达磋商地点时，能原封退回。</w:t>
      </w:r>
    </w:p>
    <w:p w14:paraId="6178E766">
      <w:pPr>
        <w:spacing w:line="440" w:lineRule="exact"/>
        <w:ind w:firstLine="422" w:firstLineChars="200"/>
        <w:outlineLvl w:val="1"/>
        <w:rPr>
          <w:rFonts w:hint="eastAsia" w:ascii="宋体" w:hAnsi="宋体" w:cs="宋体"/>
          <w:b/>
          <w:color w:val="auto"/>
          <w:szCs w:val="21"/>
          <w:highlight w:val="none"/>
        </w:rPr>
      </w:pPr>
      <w:r>
        <w:rPr>
          <w:rFonts w:hint="eastAsia" w:ascii="宋体" w:hAnsi="宋体" w:cs="宋体"/>
          <w:b/>
          <w:color w:val="auto"/>
          <w:szCs w:val="21"/>
          <w:highlight w:val="none"/>
        </w:rPr>
        <w:t xml:space="preserve">21.响应文件的提交 </w:t>
      </w:r>
    </w:p>
    <w:p w14:paraId="6A169B41">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21.1 磋商供应商应当在磋商文件要求提交磋商文件的截止时间前提交磋商文件，否则磋商无效； </w:t>
      </w:r>
    </w:p>
    <w:p w14:paraId="3E0B02FF">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21.2在磋商文件要求提交磋商文件的截止时间之后送达的或未按磋商文件要求密封和标记的磋商文件，采购代理机构有权拒绝接收。</w:t>
      </w:r>
    </w:p>
    <w:p w14:paraId="426DE74E">
      <w:pPr>
        <w:spacing w:line="440" w:lineRule="exact"/>
        <w:ind w:firstLine="413" w:firstLineChars="196"/>
        <w:outlineLvl w:val="1"/>
        <w:rPr>
          <w:rFonts w:hint="eastAsia" w:ascii="宋体" w:hAnsi="宋体" w:cs="宋体"/>
          <w:b/>
          <w:color w:val="auto"/>
          <w:szCs w:val="21"/>
          <w:highlight w:val="none"/>
        </w:rPr>
      </w:pPr>
      <w:r>
        <w:rPr>
          <w:rFonts w:hint="eastAsia" w:ascii="宋体" w:hAnsi="宋体" w:cs="宋体"/>
          <w:b/>
          <w:color w:val="auto"/>
          <w:szCs w:val="21"/>
          <w:highlight w:val="none"/>
        </w:rPr>
        <w:t>22.响应文件的修改和撤回</w:t>
      </w:r>
    </w:p>
    <w:p w14:paraId="5DC41E1D">
      <w:pPr>
        <w:spacing w:line="44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22.1供应商在提交响应文件截止时间前，可以对所提交的响应文件进行补充、修改或者撤回，并以书面形式通知采购人或代理机构。补充、修改的内容作为响应文件的组成部分。补充、修改的内容与响应文件不一致的，以补充、修改的内容为准。</w:t>
      </w:r>
    </w:p>
    <w:p w14:paraId="334E9853">
      <w:pPr>
        <w:spacing w:line="44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22.2供应商的修改或撤回通知书，应按规定进行编制、密封、标记和提交，且在内层信封上标明“修改”或“撤回”字样。</w:t>
      </w:r>
    </w:p>
    <w:p w14:paraId="3D0E24C9">
      <w:pPr>
        <w:spacing w:line="44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22.3提交响应文件截止时间后不得修改响应文件。但属于磋商小组在评审中发现的计算错误并进行核实的修改、按照磋商文件的变动情况和磋商小组的要求重新提交响应文件的，不在此列。</w:t>
      </w:r>
    </w:p>
    <w:p w14:paraId="41B6B036">
      <w:pPr>
        <w:pStyle w:val="6"/>
        <w:spacing w:before="156" w:beforeLines="50" w:after="156" w:afterLines="50" w:line="440" w:lineRule="exact"/>
        <w:jc w:val="center"/>
        <w:rPr>
          <w:rFonts w:hint="eastAsia" w:ascii="宋体" w:hAnsi="宋体" w:eastAsia="宋体" w:cs="宋体"/>
          <w:bCs w:val="0"/>
          <w:color w:val="auto"/>
          <w:sz w:val="28"/>
          <w:szCs w:val="28"/>
          <w:highlight w:val="none"/>
        </w:rPr>
      </w:pPr>
      <w:bookmarkStart w:id="19" w:name="_Toc461097056"/>
      <w:bookmarkStart w:id="20" w:name="_Toc519783887"/>
      <w:bookmarkStart w:id="21" w:name="_Toc427016285"/>
      <w:r>
        <w:rPr>
          <w:rFonts w:hint="eastAsia" w:ascii="宋体" w:hAnsi="宋体" w:eastAsia="宋体" w:cs="宋体"/>
          <w:color w:val="auto"/>
          <w:sz w:val="28"/>
          <w:szCs w:val="28"/>
          <w:highlight w:val="none"/>
        </w:rPr>
        <w:t>（五）磋商与评审</w:t>
      </w:r>
      <w:bookmarkEnd w:id="19"/>
      <w:bookmarkEnd w:id="20"/>
      <w:bookmarkEnd w:id="21"/>
    </w:p>
    <w:p w14:paraId="2BA6D456">
      <w:pPr>
        <w:spacing w:line="440" w:lineRule="exact"/>
        <w:ind w:firstLine="422" w:firstLineChars="200"/>
        <w:outlineLvl w:val="1"/>
        <w:rPr>
          <w:rFonts w:hint="eastAsia" w:ascii="宋体" w:hAnsi="宋体" w:cs="宋体"/>
          <w:b/>
          <w:color w:val="auto"/>
          <w:szCs w:val="21"/>
          <w:highlight w:val="none"/>
        </w:rPr>
      </w:pPr>
      <w:r>
        <w:rPr>
          <w:rFonts w:hint="eastAsia" w:ascii="宋体" w:hAnsi="宋体" w:cs="宋体"/>
          <w:b/>
          <w:color w:val="auto"/>
          <w:szCs w:val="21"/>
          <w:highlight w:val="none"/>
        </w:rPr>
        <w:t>23.接收响应文件</w:t>
      </w:r>
    </w:p>
    <w:p w14:paraId="7A059DF9">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23.1采购代理机构将在磋商须知前附表规定的时间和地点接收响应文件。</w:t>
      </w:r>
    </w:p>
    <w:p w14:paraId="372951F0">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23.2按规定提交了可接受的“撤回”通知书的响应文件将不予开封。</w:t>
      </w:r>
    </w:p>
    <w:p w14:paraId="06659F0E">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23.3在磋商过程中，供应商提交的澄清、说明或者更正和最终报价等响应文件应当由供应商代表签字或者加盖公章后生效，供应商应受其约束。</w:t>
      </w:r>
    </w:p>
    <w:p w14:paraId="03917853">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23.4撤回的响应文件将被原封退回给供应商，并由供应商代表签字确认。</w:t>
      </w:r>
    </w:p>
    <w:p w14:paraId="19DAB8E1">
      <w:pPr>
        <w:spacing w:line="440" w:lineRule="exact"/>
        <w:ind w:firstLine="422" w:firstLineChars="200"/>
        <w:outlineLvl w:val="1"/>
        <w:rPr>
          <w:rFonts w:hint="eastAsia" w:ascii="宋体" w:hAnsi="宋体" w:cs="宋体"/>
          <w:b/>
          <w:bCs/>
          <w:color w:val="auto"/>
          <w:szCs w:val="21"/>
          <w:highlight w:val="none"/>
        </w:rPr>
      </w:pPr>
      <w:r>
        <w:rPr>
          <w:rFonts w:hint="eastAsia" w:ascii="宋体" w:hAnsi="宋体" w:cs="宋体"/>
          <w:b/>
          <w:bCs/>
          <w:color w:val="auto"/>
          <w:szCs w:val="21"/>
          <w:highlight w:val="none"/>
        </w:rPr>
        <w:t>24.磋商原则：</w:t>
      </w:r>
    </w:p>
    <w:p w14:paraId="7978CAAA">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遵循公平、公正、科学和择优的原则。</w:t>
      </w:r>
    </w:p>
    <w:p w14:paraId="1AF5B543">
      <w:pPr>
        <w:spacing w:line="440" w:lineRule="exact"/>
        <w:ind w:firstLine="422" w:firstLineChars="200"/>
        <w:jc w:val="left"/>
        <w:outlineLvl w:val="1"/>
        <w:rPr>
          <w:rFonts w:hint="eastAsia" w:ascii="宋体" w:hAnsi="宋体" w:cs="宋体"/>
          <w:b/>
          <w:bCs/>
          <w:color w:val="auto"/>
          <w:szCs w:val="21"/>
          <w:highlight w:val="none"/>
        </w:rPr>
      </w:pPr>
      <w:r>
        <w:rPr>
          <w:rFonts w:hint="eastAsia" w:ascii="宋体" w:hAnsi="宋体" w:cs="宋体"/>
          <w:b/>
          <w:bCs/>
          <w:color w:val="auto"/>
          <w:szCs w:val="21"/>
          <w:highlight w:val="none"/>
        </w:rPr>
        <w:t>25.关于提供相同品牌的处理</w:t>
      </w:r>
      <w:r>
        <w:rPr>
          <w:rFonts w:hint="eastAsia" w:ascii="宋体" w:hAnsi="宋体" w:cs="宋体"/>
          <w:b/>
          <w:color w:val="auto"/>
          <w:szCs w:val="21"/>
          <w:highlight w:val="none"/>
        </w:rPr>
        <w:t>（本项目不采用）</w:t>
      </w:r>
      <w:r>
        <w:rPr>
          <w:rFonts w:hint="eastAsia" w:ascii="宋体" w:hAnsi="宋体" w:cs="宋体"/>
          <w:b/>
          <w:bCs/>
          <w:color w:val="auto"/>
          <w:szCs w:val="21"/>
          <w:highlight w:val="none"/>
        </w:rPr>
        <w:t xml:space="preserve"> </w:t>
      </w:r>
    </w:p>
    <w:p w14:paraId="39638EDC">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使用综合评分法的采购项目，提供相同品牌产品且通过资格审查、符合性审查的不同磋商人参加同一合同项下磋商的，按一家磋商人计算，评审后得分最高的同品牌磋商人获得成交人推荐资格；评审得分相同的，由采购人或采购人委托磋商小组按照交易文件规定的方式确定一个磋商人获得成交人推荐资格，交易文件未规定的采取随机抽取方式确定，其他同品牌磋商人不作为中标候选人。</w:t>
      </w:r>
    </w:p>
    <w:p w14:paraId="33916B2D">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非单一产品采购项目，采购人应当根据采购项目技术构成、产品价格比重等合理确定核心产品，多家磋商人提供的核心产品品牌相同的，按前款规定处理。</w:t>
      </w:r>
    </w:p>
    <w:p w14:paraId="11A9FF95">
      <w:pPr>
        <w:spacing w:line="440" w:lineRule="exact"/>
        <w:ind w:firstLine="422" w:firstLineChars="200"/>
        <w:outlineLvl w:val="1"/>
        <w:rPr>
          <w:rFonts w:hint="eastAsia" w:ascii="宋体" w:hAnsi="宋体" w:cs="宋体"/>
          <w:b/>
          <w:color w:val="auto"/>
          <w:szCs w:val="21"/>
          <w:highlight w:val="none"/>
        </w:rPr>
      </w:pPr>
      <w:r>
        <w:rPr>
          <w:rFonts w:hint="eastAsia" w:ascii="宋体" w:hAnsi="宋体" w:cs="宋体"/>
          <w:b/>
          <w:color w:val="auto"/>
          <w:szCs w:val="21"/>
          <w:highlight w:val="none"/>
        </w:rPr>
        <w:t>26.磋商小组</w:t>
      </w:r>
    </w:p>
    <w:p w14:paraId="65825DB0">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26.1本项目采购人将依法组建磋商小组，磋商小组成员由3人组成，磋商小组及其成员应当依照采购的有关规定履行相关职责和义务。</w:t>
      </w:r>
    </w:p>
    <w:p w14:paraId="7A97C6DF">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26.2磋商小组依法对响应文件进行评审，并根据磋商文件规定的程序、评定成交的标准等事项与实质性响应磋商文件要求的供应商进行磋商。</w:t>
      </w:r>
    </w:p>
    <w:p w14:paraId="139BBDFD">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26.3磋商小组应当从质量和服务均能满足磋商文件实质性响应要求的供应商中，按照评审办法提出成交候选供应商，并编写评标报告。</w:t>
      </w:r>
    </w:p>
    <w:p w14:paraId="3B3671A7">
      <w:pPr>
        <w:spacing w:line="440" w:lineRule="exact"/>
        <w:ind w:firstLine="422" w:firstLineChars="200"/>
        <w:outlineLvl w:val="1"/>
        <w:rPr>
          <w:rFonts w:hint="eastAsia" w:ascii="宋体" w:hAnsi="宋体" w:cs="宋体"/>
          <w:b/>
          <w:color w:val="auto"/>
          <w:szCs w:val="21"/>
          <w:highlight w:val="none"/>
        </w:rPr>
      </w:pPr>
      <w:r>
        <w:rPr>
          <w:rFonts w:hint="eastAsia" w:ascii="宋体" w:hAnsi="宋体" w:cs="宋体"/>
          <w:b/>
          <w:color w:val="auto"/>
          <w:szCs w:val="21"/>
          <w:highlight w:val="none"/>
        </w:rPr>
        <w:t>27.响应文件评审与磋商</w:t>
      </w:r>
    </w:p>
    <w:p w14:paraId="2128810D">
      <w:pPr>
        <w:pStyle w:val="96"/>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27.1采购代理机构将供应商须知前附表规定的时间和地点组织磋商。</w:t>
      </w:r>
    </w:p>
    <w:p w14:paraId="794CDA3C">
      <w:pPr>
        <w:pStyle w:val="96"/>
        <w:tabs>
          <w:tab w:val="left" w:pos="851"/>
        </w:tabs>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w:t>
      </w:r>
      <w:r>
        <w:rPr>
          <w:rFonts w:hint="eastAsia" w:ascii="宋体" w:hAnsi="宋体" w:cs="宋体"/>
          <w:bCs/>
          <w:color w:val="auto"/>
          <w:szCs w:val="21"/>
          <w:highlight w:val="none"/>
        </w:rPr>
        <w:t>2磋商前，</w:t>
      </w:r>
      <w:r>
        <w:rPr>
          <w:rFonts w:hint="eastAsia" w:ascii="宋体" w:hAnsi="宋体" w:cs="宋体"/>
          <w:color w:val="auto"/>
          <w:szCs w:val="21"/>
          <w:highlight w:val="none"/>
        </w:rPr>
        <w:t>采购代理机构</w:t>
      </w:r>
      <w:r>
        <w:rPr>
          <w:rFonts w:hint="eastAsia" w:ascii="宋体" w:hAnsi="宋体" w:cs="宋体"/>
          <w:bCs/>
          <w:color w:val="auto"/>
          <w:szCs w:val="21"/>
          <w:highlight w:val="none"/>
        </w:rPr>
        <w:t>将会同供应商代表检查响应文件的封装情况。</w:t>
      </w:r>
    </w:p>
    <w:p w14:paraId="399A7266">
      <w:pPr>
        <w:pStyle w:val="96"/>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27.3 磋商小组将按照磋商文件规定的评标办法对供应商独立进行评审。</w:t>
      </w:r>
    </w:p>
    <w:p w14:paraId="05E25E91">
      <w:pPr>
        <w:pStyle w:val="96"/>
        <w:snapToGrid w:val="0"/>
        <w:spacing w:line="440" w:lineRule="exact"/>
        <w:ind w:firstLine="420" w:firstLineChars="200"/>
        <w:outlineLvl w:val="2"/>
        <w:rPr>
          <w:rFonts w:hint="eastAsia" w:ascii="宋体" w:hAnsi="宋体" w:cs="宋体"/>
          <w:color w:val="auto"/>
          <w:szCs w:val="21"/>
          <w:highlight w:val="none"/>
        </w:rPr>
      </w:pPr>
      <w:r>
        <w:rPr>
          <w:rFonts w:hint="eastAsia" w:ascii="宋体" w:hAnsi="宋体" w:cs="宋体"/>
          <w:color w:val="auto"/>
          <w:szCs w:val="21"/>
          <w:highlight w:val="none"/>
        </w:rPr>
        <w:t>27.4磋商活动采用综合评分法评审。</w:t>
      </w:r>
    </w:p>
    <w:p w14:paraId="324B3BDC">
      <w:pPr>
        <w:pStyle w:val="96"/>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综合评分法，是指响应文件满足磋商文件全部实质性要求且按评审因素的量化指标评审得分最高的供应商为成交候选供应商的评审方法。</w:t>
      </w:r>
    </w:p>
    <w:p w14:paraId="11334DE3">
      <w:pPr>
        <w:pStyle w:val="96"/>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27.5磋商采用综合评分的办法，对实质性响应的响应文件就技术、资信等诸多因素进行评审打分。</w:t>
      </w:r>
    </w:p>
    <w:p w14:paraId="552C2B35">
      <w:pPr>
        <w:pStyle w:val="96"/>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27.6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13D0ADF">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如有询标，授权代表（或法定代表人）可携带本人有效身份证明原件参加询标。因授权代表联系不上</w:t>
      </w:r>
      <w:r>
        <w:rPr>
          <w:rFonts w:hint="eastAsia" w:ascii="宋体" w:hAnsi="宋体" w:cs="宋体"/>
          <w:b/>
          <w:bCs/>
          <w:color w:val="auto"/>
          <w:szCs w:val="21"/>
          <w:highlight w:val="none"/>
        </w:rPr>
        <w:t>、</w:t>
      </w:r>
      <w:r>
        <w:rPr>
          <w:rFonts w:hint="eastAsia" w:ascii="宋体" w:hAnsi="宋体" w:cs="宋体"/>
          <w:color w:val="auto"/>
          <w:szCs w:val="21"/>
          <w:highlight w:val="none"/>
        </w:rPr>
        <w:t>未到磋商现场</w:t>
      </w:r>
      <w:r>
        <w:rPr>
          <w:rFonts w:hint="eastAsia" w:ascii="宋体" w:hAnsi="宋体" w:cs="宋体"/>
          <w:bCs/>
          <w:color w:val="auto"/>
          <w:szCs w:val="21"/>
          <w:highlight w:val="none"/>
        </w:rPr>
        <w:t>等情形</w:t>
      </w:r>
      <w:r>
        <w:rPr>
          <w:rFonts w:hint="eastAsia" w:ascii="宋体" w:hAnsi="宋体" w:cs="宋体"/>
          <w:color w:val="auto"/>
          <w:szCs w:val="21"/>
          <w:highlight w:val="none"/>
        </w:rPr>
        <w:t>而无法接受磋商小组询标的，供应商自行承担相关风险。</w:t>
      </w:r>
    </w:p>
    <w:p w14:paraId="7A53E727">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27.7磋商小组要求供应商澄清、说明或者更正响应文件应当以书面形式作出。供应商的澄清、说明或者更正应当由法定代表人或其授权代表签字或者加盖公章。</w:t>
      </w:r>
    </w:p>
    <w:p w14:paraId="099E6F39">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27.8供应商未实质性响应磋商文件要求的，磋商小组将以书面询标的方式告知有关供应商。</w:t>
      </w:r>
    </w:p>
    <w:p w14:paraId="7C60A10E">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27.9初审合格后，磋商小组将按响应文件递交顺序分别与供应商就磋商报价、供货或服务方案系统设计方案、产品配置及售后服务等内容进行磋商。各供应商均具有和磋商小组进行磋商的权利。如供应商未到磋商现场的，视同放弃该权利。</w:t>
      </w:r>
    </w:p>
    <w:p w14:paraId="3ADC1988">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27.10磋商小组按下表内容对响应文件进行初审和综合评审，各供应商的得分分值一经得出，并核对无误后，任何人不得更改。磋商小组对供应商某项初审指标如有不同意见，按照少数服从多数的原则，确定该项指标是否通过。</w:t>
      </w:r>
    </w:p>
    <w:p w14:paraId="499109D1">
      <w:pPr>
        <w:spacing w:line="440" w:lineRule="exact"/>
        <w:ind w:firstLine="422" w:firstLineChars="200"/>
        <w:outlineLvl w:val="1"/>
        <w:rPr>
          <w:rFonts w:hint="eastAsia" w:ascii="宋体" w:hAnsi="宋体" w:cs="宋体"/>
          <w:b/>
          <w:color w:val="auto"/>
          <w:szCs w:val="21"/>
          <w:highlight w:val="none"/>
        </w:rPr>
      </w:pPr>
      <w:r>
        <w:rPr>
          <w:rFonts w:hint="eastAsia" w:ascii="宋体" w:hAnsi="宋体" w:cs="宋体"/>
          <w:b/>
          <w:color w:val="auto"/>
          <w:szCs w:val="21"/>
          <w:highlight w:val="none"/>
        </w:rPr>
        <w:t>28.竞争性磋商评审方法</w:t>
      </w:r>
    </w:p>
    <w:p w14:paraId="6A10E228">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28.1磋商小组所有成员应当集中与单一供应商分别进行磋商，并给予所有参加磋商的供应商平等的磋商机会。</w:t>
      </w:r>
    </w:p>
    <w:p w14:paraId="67957C0D">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28.2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磋商结束后，磋商小组应当要求所有实质性响应的供应商在规定时间内提交最后报价（最后报价要求：①如果实质性变动技术、服务要求以及合同草案条款内容，该报价可大于或等于或小于原提交响应文件中的报价，但不得高于最高限价；②如果未实质性变动技术、服务要求以及合同草案条款内容，该报价可等于或小于原提交响应文件中的报价；③无论最后报价属于哪种情形，最终是否认可的权利属于磋商小组），提交最后报价的供应商不得少于3家。已提交响应文件的供应商，在提交最后报价之前，可以根据磋商情况退出磋商。</w:t>
      </w:r>
    </w:p>
    <w:p w14:paraId="311C7818">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28.3经磋商确定最终采购需求和提交最后报价的供应商后，由磋商小组采用综合评分法对提交最后报价的供应商的响应文件和最后报价进行综合评分。</w:t>
      </w:r>
    </w:p>
    <w:p w14:paraId="39FE9B79">
      <w:pPr>
        <w:tabs>
          <w:tab w:val="left" w:pos="1080"/>
        </w:tabs>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28.4供应商需进行最后报价，供应商应当在磋商小组规定的时间内提交最后报价，并由法定代表人或被授权代表签字，最后报价为不可更改价格，最后报价是供应商响应文件的有效组成部分，作为磋商小组推荐成交候选供应商的依据。</w:t>
      </w:r>
    </w:p>
    <w:p w14:paraId="481205CA">
      <w:pPr>
        <w:spacing w:line="440" w:lineRule="exact"/>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本项目最后报价具体要求：本次磋商实行两次报价。第一次报价为供应商在响应文件中填报的报价，第二次报价在响应文件通过评审后，各供应商应在磋商现场规定的时间内进行二次报价。第二次报价即为最后报价，若供应商未在规定的时间内进行二次报价（最后报价）或二次报价被磋商小组认为不符合要求的，磋商小组默认其响应文件中填报的价格为供应商的最后报价，磋商价格分以供应商的最后报价为准，即满足磋商文件要求且最后报价最低的供应商的价格为磋商基准价，其价格分为满分。采用分项报价的项目，最后报价的各分项结合一次报价中的各项单价按总价同比例下浮，价款结算时按成交下浮比率进行调整。</w:t>
      </w:r>
    </w:p>
    <w:p w14:paraId="7EB48C8D">
      <w:pPr>
        <w:spacing w:line="440" w:lineRule="exact"/>
        <w:ind w:firstLine="422" w:firstLineChars="200"/>
        <w:outlineLvl w:val="0"/>
        <w:rPr>
          <w:rFonts w:hint="eastAsia" w:ascii="宋体" w:hAnsi="宋体" w:cs="宋体"/>
          <w:b/>
          <w:color w:val="auto"/>
          <w:szCs w:val="21"/>
          <w:highlight w:val="none"/>
        </w:rPr>
      </w:pPr>
      <w:r>
        <w:rPr>
          <w:rFonts w:hint="eastAsia" w:ascii="宋体" w:hAnsi="宋体" w:cs="宋体"/>
          <w:b/>
          <w:color w:val="auto"/>
          <w:szCs w:val="21"/>
          <w:highlight w:val="none"/>
        </w:rPr>
        <w:t>（一）初审</w:t>
      </w:r>
    </w:p>
    <w:p w14:paraId="622A3F0D">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磋商小组对通过资格审查环节的磋商文件进行初审。下述内容凡有一项不合格的磋商即作为</w:t>
      </w:r>
      <w:r>
        <w:rPr>
          <w:rFonts w:hint="eastAsia" w:ascii="宋体" w:hAnsi="宋体" w:cs="宋体"/>
          <w:b/>
          <w:color w:val="auto"/>
          <w:szCs w:val="21"/>
          <w:highlight w:val="none"/>
        </w:rPr>
        <w:t>无效处理</w:t>
      </w:r>
      <w:r>
        <w:rPr>
          <w:rFonts w:hint="eastAsia" w:ascii="宋体" w:hAnsi="宋体" w:cs="宋体"/>
          <w:color w:val="auto"/>
          <w:szCs w:val="21"/>
          <w:highlight w:val="none"/>
        </w:rPr>
        <w:t>，不再进入下一步评审：</w:t>
      </w:r>
    </w:p>
    <w:tbl>
      <w:tblPr>
        <w:tblStyle w:val="35"/>
        <w:tblW w:w="9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3"/>
        <w:gridCol w:w="1876"/>
      </w:tblGrid>
      <w:tr w14:paraId="0C303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963" w:type="dxa"/>
            <w:noWrap w:val="0"/>
            <w:vAlign w:val="center"/>
          </w:tcPr>
          <w:p w14:paraId="01A78018">
            <w:pPr>
              <w:spacing w:line="44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审查内容</w:t>
            </w:r>
          </w:p>
        </w:tc>
        <w:tc>
          <w:tcPr>
            <w:tcW w:w="1876" w:type="dxa"/>
            <w:noWrap w:val="0"/>
            <w:vAlign w:val="center"/>
          </w:tcPr>
          <w:p w14:paraId="2EA3A7B4">
            <w:pPr>
              <w:spacing w:line="44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审查标准</w:t>
            </w:r>
          </w:p>
        </w:tc>
      </w:tr>
      <w:tr w14:paraId="15FD5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963" w:type="dxa"/>
            <w:noWrap w:val="0"/>
            <w:vAlign w:val="center"/>
          </w:tcPr>
          <w:p w14:paraId="5C0423BB">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供应商没有经过正常渠道下载磋商文件</w:t>
            </w:r>
          </w:p>
        </w:tc>
        <w:tc>
          <w:tcPr>
            <w:tcW w:w="1876" w:type="dxa"/>
            <w:noWrap w:val="0"/>
            <w:vAlign w:val="center"/>
          </w:tcPr>
          <w:p w14:paraId="37EB507D">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符合要求</w:t>
            </w:r>
          </w:p>
        </w:tc>
      </w:tr>
      <w:tr w14:paraId="62A7D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7963" w:type="dxa"/>
            <w:noWrap w:val="0"/>
            <w:vAlign w:val="center"/>
          </w:tcPr>
          <w:p w14:paraId="1BC0E5D8">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响应文件中未按磋商文件的要求加盖投标单位公章；法定代表人或被授权代表未按磋商文件要求签字的</w:t>
            </w:r>
          </w:p>
        </w:tc>
        <w:tc>
          <w:tcPr>
            <w:tcW w:w="1876" w:type="dxa"/>
            <w:noWrap w:val="0"/>
            <w:vAlign w:val="center"/>
          </w:tcPr>
          <w:p w14:paraId="3CD2FE80">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符合要求</w:t>
            </w:r>
          </w:p>
        </w:tc>
      </w:tr>
      <w:tr w14:paraId="0DE74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963" w:type="dxa"/>
            <w:noWrap w:val="0"/>
            <w:vAlign w:val="center"/>
          </w:tcPr>
          <w:p w14:paraId="395729A7">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无磋商有效期或磋商有效期达不到磋商文件的要求；</w:t>
            </w:r>
          </w:p>
        </w:tc>
        <w:tc>
          <w:tcPr>
            <w:tcW w:w="1876" w:type="dxa"/>
            <w:noWrap w:val="0"/>
            <w:vAlign w:val="center"/>
          </w:tcPr>
          <w:p w14:paraId="6665CCC2">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符合要求</w:t>
            </w:r>
          </w:p>
        </w:tc>
      </w:tr>
      <w:tr w14:paraId="6E861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963" w:type="dxa"/>
            <w:noWrap w:val="0"/>
            <w:vAlign w:val="center"/>
          </w:tcPr>
          <w:p w14:paraId="3850E710">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未按磋商文件要求编制或出现漏项或服务内容与磋商文件要求不符；</w:t>
            </w:r>
          </w:p>
        </w:tc>
        <w:tc>
          <w:tcPr>
            <w:tcW w:w="1876" w:type="dxa"/>
            <w:noWrap w:val="0"/>
            <w:vAlign w:val="center"/>
          </w:tcPr>
          <w:p w14:paraId="51EDF637">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符合要求</w:t>
            </w:r>
          </w:p>
        </w:tc>
      </w:tr>
      <w:tr w14:paraId="4AB47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963" w:type="dxa"/>
            <w:noWrap w:val="0"/>
            <w:vAlign w:val="center"/>
          </w:tcPr>
          <w:p w14:paraId="0D7B06E5">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响应文件实质上未响应磋商文件的要求，附加了采购人难以接受的条件</w:t>
            </w:r>
          </w:p>
        </w:tc>
        <w:tc>
          <w:tcPr>
            <w:tcW w:w="1876" w:type="dxa"/>
            <w:noWrap w:val="0"/>
            <w:vAlign w:val="center"/>
          </w:tcPr>
          <w:p w14:paraId="103CAEE8">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符合要求</w:t>
            </w:r>
          </w:p>
        </w:tc>
      </w:tr>
      <w:tr w14:paraId="32B17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963" w:type="dxa"/>
            <w:noWrap w:val="0"/>
            <w:vAlign w:val="center"/>
          </w:tcPr>
          <w:p w14:paraId="114BEA7A">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投标内容的审计报告要求及项目实施内容达不到磋商文件要求，降低了质量或影响项目进度</w:t>
            </w:r>
          </w:p>
        </w:tc>
        <w:tc>
          <w:tcPr>
            <w:tcW w:w="1876" w:type="dxa"/>
            <w:noWrap w:val="0"/>
            <w:vAlign w:val="center"/>
          </w:tcPr>
          <w:p w14:paraId="791A0C71">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符合要求</w:t>
            </w:r>
          </w:p>
        </w:tc>
      </w:tr>
      <w:tr w14:paraId="621AB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963" w:type="dxa"/>
            <w:noWrap w:val="0"/>
            <w:vAlign w:val="center"/>
          </w:tcPr>
          <w:p w14:paraId="24D35E6A">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磋商报价超过采购预算或最高限价的。</w:t>
            </w:r>
          </w:p>
        </w:tc>
        <w:tc>
          <w:tcPr>
            <w:tcW w:w="1876" w:type="dxa"/>
            <w:noWrap w:val="0"/>
            <w:vAlign w:val="center"/>
          </w:tcPr>
          <w:p w14:paraId="5556C32D">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符合要求</w:t>
            </w:r>
          </w:p>
        </w:tc>
      </w:tr>
    </w:tbl>
    <w:p w14:paraId="2A3CD89F">
      <w:pPr>
        <w:spacing w:line="440" w:lineRule="exact"/>
        <w:ind w:firstLine="310" w:firstLineChars="147"/>
        <w:jc w:val="left"/>
        <w:rPr>
          <w:rFonts w:hint="eastAsia" w:ascii="宋体" w:hAnsi="宋体" w:cs="宋体"/>
          <w:b/>
          <w:bCs/>
          <w:color w:val="auto"/>
          <w:szCs w:val="21"/>
          <w:highlight w:val="none"/>
        </w:rPr>
      </w:pPr>
      <w:bookmarkStart w:id="22" w:name="_Toc519783888"/>
      <w:r>
        <w:rPr>
          <w:rFonts w:hint="eastAsia" w:ascii="宋体" w:hAnsi="宋体" w:cs="宋体"/>
          <w:b/>
          <w:bCs/>
          <w:color w:val="auto"/>
          <w:szCs w:val="21"/>
          <w:highlight w:val="none"/>
        </w:rPr>
        <w:t>评审细则</w:t>
      </w:r>
      <w:bookmarkEnd w:id="22"/>
    </w:p>
    <w:tbl>
      <w:tblPr>
        <w:tblStyle w:val="35"/>
        <w:tblW w:w="9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112"/>
        <w:gridCol w:w="3322"/>
        <w:gridCol w:w="4716"/>
      </w:tblGrid>
      <w:tr w14:paraId="7E0A9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8" w:type="dxa"/>
            <w:noWrap w:val="0"/>
            <w:vAlign w:val="center"/>
          </w:tcPr>
          <w:p w14:paraId="28FDC93D">
            <w:pPr>
              <w:spacing w:line="4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序号</w:t>
            </w:r>
          </w:p>
        </w:tc>
        <w:tc>
          <w:tcPr>
            <w:tcW w:w="4434" w:type="dxa"/>
            <w:gridSpan w:val="2"/>
            <w:noWrap w:val="0"/>
            <w:vAlign w:val="center"/>
          </w:tcPr>
          <w:p w14:paraId="0B69364F">
            <w:pPr>
              <w:spacing w:line="4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审查因素</w:t>
            </w:r>
          </w:p>
        </w:tc>
        <w:tc>
          <w:tcPr>
            <w:tcW w:w="4716" w:type="dxa"/>
            <w:noWrap w:val="0"/>
            <w:vAlign w:val="center"/>
          </w:tcPr>
          <w:p w14:paraId="11244A65">
            <w:pPr>
              <w:spacing w:line="4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审查内容</w:t>
            </w:r>
          </w:p>
        </w:tc>
      </w:tr>
      <w:tr w14:paraId="6C396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jc w:val="center"/>
        </w:trPr>
        <w:tc>
          <w:tcPr>
            <w:tcW w:w="668" w:type="dxa"/>
            <w:noWrap w:val="0"/>
            <w:vAlign w:val="center"/>
          </w:tcPr>
          <w:p w14:paraId="1768FF97">
            <w:pPr>
              <w:spacing w:line="4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1112" w:type="dxa"/>
            <w:noWrap w:val="0"/>
            <w:vAlign w:val="center"/>
          </w:tcPr>
          <w:p w14:paraId="140637E5">
            <w:pPr>
              <w:spacing w:line="4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重要要求</w:t>
            </w:r>
          </w:p>
        </w:tc>
        <w:tc>
          <w:tcPr>
            <w:tcW w:w="3322" w:type="dxa"/>
            <w:noWrap w:val="0"/>
            <w:vAlign w:val="top"/>
          </w:tcPr>
          <w:p w14:paraId="2C8C42C7">
            <w:pPr>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szCs w:val="21"/>
                <w:highlight w:val="none"/>
              </w:rPr>
              <w:t>法定代表人</w:t>
            </w:r>
            <w:r>
              <w:rPr>
                <w:rFonts w:hint="eastAsia" w:ascii="宋体" w:hAnsi="宋体" w:cs="宋体"/>
                <w:color w:val="auto"/>
                <w:kern w:val="0"/>
                <w:szCs w:val="21"/>
                <w:highlight w:val="none"/>
              </w:rPr>
              <w:t>身份证明和有效身份证（或</w:t>
            </w:r>
            <w:r>
              <w:rPr>
                <w:rFonts w:hint="eastAsia" w:ascii="宋体" w:hAnsi="宋体" w:cs="宋体"/>
                <w:color w:val="auto"/>
                <w:szCs w:val="21"/>
                <w:highlight w:val="none"/>
              </w:rPr>
              <w:t>法定代表人</w:t>
            </w:r>
            <w:r>
              <w:rPr>
                <w:rFonts w:hint="eastAsia" w:ascii="宋体" w:hAnsi="宋体" w:cs="宋体"/>
                <w:color w:val="auto"/>
                <w:kern w:val="0"/>
                <w:szCs w:val="21"/>
                <w:highlight w:val="none"/>
              </w:rPr>
              <w:t>授权委托书及委托代理人有效身份证）</w:t>
            </w:r>
          </w:p>
        </w:tc>
        <w:tc>
          <w:tcPr>
            <w:tcW w:w="4716" w:type="dxa"/>
            <w:noWrap w:val="0"/>
            <w:vAlign w:val="center"/>
          </w:tcPr>
          <w:p w14:paraId="2CA7807A">
            <w:pPr>
              <w:spacing w:line="440" w:lineRule="exact"/>
              <w:rPr>
                <w:rFonts w:hint="eastAsia" w:ascii="宋体" w:hAnsi="宋体" w:cs="宋体"/>
                <w:color w:val="auto"/>
                <w:kern w:val="0"/>
                <w:szCs w:val="21"/>
                <w:highlight w:val="none"/>
              </w:rPr>
            </w:pPr>
            <w:r>
              <w:rPr>
                <w:rFonts w:hint="eastAsia" w:ascii="宋体" w:hAnsi="宋体" w:cs="宋体"/>
                <w:color w:val="auto"/>
                <w:szCs w:val="21"/>
                <w:highlight w:val="none"/>
              </w:rPr>
              <w:t>法定代表人</w:t>
            </w:r>
            <w:r>
              <w:rPr>
                <w:rFonts w:hint="eastAsia" w:ascii="宋体" w:hAnsi="宋体" w:cs="宋体"/>
                <w:color w:val="auto"/>
                <w:kern w:val="0"/>
                <w:szCs w:val="21"/>
                <w:highlight w:val="none"/>
              </w:rPr>
              <w:t>身份证明和身份证有效（或</w:t>
            </w:r>
            <w:r>
              <w:rPr>
                <w:rFonts w:hint="eastAsia" w:ascii="宋体" w:hAnsi="宋体" w:cs="宋体"/>
                <w:color w:val="auto"/>
                <w:szCs w:val="21"/>
                <w:highlight w:val="none"/>
              </w:rPr>
              <w:t>法定代表人</w:t>
            </w:r>
            <w:r>
              <w:rPr>
                <w:rFonts w:hint="eastAsia" w:ascii="宋体" w:hAnsi="宋体" w:cs="宋体"/>
                <w:color w:val="auto"/>
                <w:kern w:val="0"/>
                <w:szCs w:val="21"/>
                <w:highlight w:val="none"/>
              </w:rPr>
              <w:t>授权委托书及委托代理人有效身份证），格式见附件</w:t>
            </w:r>
          </w:p>
        </w:tc>
      </w:tr>
      <w:tr w14:paraId="61F55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68" w:type="dxa"/>
            <w:vMerge w:val="restart"/>
            <w:noWrap w:val="0"/>
            <w:vAlign w:val="center"/>
          </w:tcPr>
          <w:p w14:paraId="1729663A">
            <w:pPr>
              <w:spacing w:line="4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112" w:type="dxa"/>
            <w:vMerge w:val="restart"/>
            <w:noWrap w:val="0"/>
            <w:vAlign w:val="center"/>
          </w:tcPr>
          <w:p w14:paraId="6F357302">
            <w:pPr>
              <w:spacing w:line="440" w:lineRule="exact"/>
              <w:jc w:val="center"/>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供应商应符合的基本资格条件</w:t>
            </w:r>
          </w:p>
        </w:tc>
        <w:tc>
          <w:tcPr>
            <w:tcW w:w="3322" w:type="dxa"/>
            <w:noWrap w:val="0"/>
            <w:vAlign w:val="center"/>
          </w:tcPr>
          <w:p w14:paraId="250C8CE1">
            <w:pPr>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（2）具有承担民事责任的能力</w:t>
            </w:r>
          </w:p>
        </w:tc>
        <w:tc>
          <w:tcPr>
            <w:tcW w:w="4716" w:type="dxa"/>
            <w:noWrap w:val="0"/>
            <w:vAlign w:val="center"/>
          </w:tcPr>
          <w:p w14:paraId="64329C74">
            <w:pPr>
              <w:spacing w:line="44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供应商有效的营业执照（或三合一证书）复印件加盖供应商公章</w:t>
            </w:r>
          </w:p>
        </w:tc>
      </w:tr>
      <w:tr w14:paraId="66379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8" w:type="dxa"/>
            <w:vMerge w:val="continue"/>
            <w:noWrap w:val="0"/>
            <w:vAlign w:val="center"/>
          </w:tcPr>
          <w:p w14:paraId="4EB72670">
            <w:pPr>
              <w:spacing w:line="440" w:lineRule="exact"/>
              <w:jc w:val="center"/>
              <w:rPr>
                <w:rFonts w:hint="eastAsia" w:ascii="宋体" w:hAnsi="宋体" w:cs="宋体"/>
                <w:color w:val="auto"/>
                <w:kern w:val="0"/>
                <w:szCs w:val="21"/>
                <w:highlight w:val="none"/>
              </w:rPr>
            </w:pPr>
          </w:p>
        </w:tc>
        <w:tc>
          <w:tcPr>
            <w:tcW w:w="1112" w:type="dxa"/>
            <w:vMerge w:val="continue"/>
            <w:noWrap w:val="0"/>
            <w:vAlign w:val="center"/>
          </w:tcPr>
          <w:p w14:paraId="0C3025B7">
            <w:pPr>
              <w:spacing w:line="440" w:lineRule="exact"/>
              <w:jc w:val="center"/>
              <w:rPr>
                <w:rFonts w:hint="eastAsia" w:ascii="宋体" w:hAnsi="宋体" w:cs="宋体"/>
                <w:color w:val="auto"/>
                <w:kern w:val="0"/>
                <w:szCs w:val="21"/>
                <w:highlight w:val="none"/>
              </w:rPr>
            </w:pPr>
          </w:p>
        </w:tc>
        <w:tc>
          <w:tcPr>
            <w:tcW w:w="3322" w:type="dxa"/>
            <w:noWrap w:val="0"/>
            <w:vAlign w:val="center"/>
          </w:tcPr>
          <w:p w14:paraId="5714FB30">
            <w:pPr>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（3）诚信响应承诺书</w:t>
            </w:r>
          </w:p>
        </w:tc>
        <w:tc>
          <w:tcPr>
            <w:tcW w:w="4716" w:type="dxa"/>
            <w:noWrap w:val="0"/>
            <w:vAlign w:val="center"/>
          </w:tcPr>
          <w:p w14:paraId="2FD05782">
            <w:pPr>
              <w:spacing w:line="44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格式见附件</w:t>
            </w:r>
          </w:p>
        </w:tc>
      </w:tr>
      <w:tr w14:paraId="6BDE4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668" w:type="dxa"/>
            <w:noWrap w:val="0"/>
            <w:vAlign w:val="center"/>
          </w:tcPr>
          <w:p w14:paraId="5725F680">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112" w:type="dxa"/>
            <w:noWrap w:val="0"/>
            <w:vAlign w:val="center"/>
          </w:tcPr>
          <w:p w14:paraId="2AEB4BB5">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其他要求</w:t>
            </w:r>
          </w:p>
        </w:tc>
        <w:tc>
          <w:tcPr>
            <w:tcW w:w="3322" w:type="dxa"/>
            <w:noWrap w:val="0"/>
            <w:vAlign w:val="center"/>
          </w:tcPr>
          <w:p w14:paraId="294E3B14">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法定代表人或项目负责人或委托代理人须参加开标会议</w:t>
            </w:r>
          </w:p>
        </w:tc>
        <w:tc>
          <w:tcPr>
            <w:tcW w:w="4716" w:type="dxa"/>
            <w:noWrap w:val="0"/>
            <w:vAlign w:val="center"/>
          </w:tcPr>
          <w:p w14:paraId="415017F0">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核验身份</w:t>
            </w:r>
          </w:p>
        </w:tc>
      </w:tr>
    </w:tbl>
    <w:p w14:paraId="5672DF6E">
      <w:pPr>
        <w:spacing w:line="440" w:lineRule="exact"/>
        <w:ind w:firstLine="422" w:firstLineChars="200"/>
        <w:outlineLvl w:val="0"/>
        <w:rPr>
          <w:rFonts w:hint="eastAsia" w:ascii="宋体" w:hAnsi="宋体" w:cs="宋体"/>
          <w:b/>
          <w:color w:val="auto"/>
          <w:szCs w:val="21"/>
          <w:highlight w:val="none"/>
        </w:rPr>
      </w:pPr>
      <w:r>
        <w:rPr>
          <w:rFonts w:hint="eastAsia" w:ascii="宋体" w:hAnsi="宋体" w:cs="宋体"/>
          <w:b/>
          <w:color w:val="auto"/>
          <w:szCs w:val="21"/>
          <w:highlight w:val="none"/>
        </w:rPr>
        <w:t>（二）综合评审</w:t>
      </w:r>
    </w:p>
    <w:p w14:paraId="7B183E78">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1、对响应文件进行综合评审。磋商小组只对通过初审，实质上响应磋商文件要求的响应文件按照下述指标表进行综合评审。</w:t>
      </w:r>
    </w:p>
    <w:p w14:paraId="056DA46B">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2、本项目满分100分。资信分值占总分值的权重为</w:t>
      </w:r>
      <w:r>
        <w:rPr>
          <w:rFonts w:hint="eastAsia" w:ascii="宋体" w:hAnsi="宋体" w:cs="宋体"/>
          <w:color w:val="auto"/>
          <w:szCs w:val="21"/>
          <w:highlight w:val="none"/>
          <w:lang w:val="en-US" w:eastAsia="zh-CN"/>
        </w:rPr>
        <w:t>35</w:t>
      </w:r>
      <w:r>
        <w:rPr>
          <w:rFonts w:hint="eastAsia" w:ascii="宋体" w:hAnsi="宋体" w:cs="宋体"/>
          <w:color w:val="auto"/>
          <w:szCs w:val="21"/>
          <w:highlight w:val="none"/>
        </w:rPr>
        <w:t>%，技术分值占总分值的权重为</w:t>
      </w:r>
      <w:r>
        <w:rPr>
          <w:rFonts w:hint="eastAsia" w:ascii="宋体" w:hAnsi="宋体" w:cs="宋体"/>
          <w:color w:val="auto"/>
          <w:szCs w:val="21"/>
          <w:highlight w:val="none"/>
          <w:lang w:val="en-US" w:eastAsia="zh-CN"/>
        </w:rPr>
        <w:t>35</w:t>
      </w:r>
      <w:r>
        <w:rPr>
          <w:rFonts w:hint="eastAsia" w:ascii="宋体" w:hAnsi="宋体" w:cs="宋体"/>
          <w:color w:val="auto"/>
          <w:szCs w:val="21"/>
          <w:highlight w:val="none"/>
        </w:rPr>
        <w:t>%，价格分值占总分值的权重为</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w:t>
      </w:r>
    </w:p>
    <w:p w14:paraId="56D5AB5F">
      <w:pPr>
        <w:adjustRightInd w:val="0"/>
        <w:snapToGrid w:val="0"/>
        <w:spacing w:line="440" w:lineRule="exact"/>
        <w:ind w:firstLine="420" w:firstLineChars="200"/>
        <w:outlineLvl w:val="1"/>
        <w:rPr>
          <w:rFonts w:hint="eastAsia" w:ascii="宋体" w:hAnsi="宋体" w:cs="宋体"/>
          <w:color w:val="auto"/>
          <w:szCs w:val="21"/>
          <w:highlight w:val="none"/>
        </w:rPr>
      </w:pPr>
      <w:r>
        <w:rPr>
          <w:rFonts w:hint="eastAsia" w:ascii="宋体" w:hAnsi="宋体" w:cs="宋体"/>
          <w:color w:val="auto"/>
          <w:szCs w:val="21"/>
          <w:highlight w:val="none"/>
        </w:rPr>
        <w:t>3、评分步骤如下：</w:t>
      </w:r>
    </w:p>
    <w:p w14:paraId="443FB5CB">
      <w:pPr>
        <w:pStyle w:val="2"/>
        <w:spacing w:line="440" w:lineRule="exact"/>
        <w:ind w:firstLine="420"/>
        <w:outlineLvl w:val="2"/>
        <w:rPr>
          <w:rFonts w:hint="eastAsia" w:cs="宋体"/>
          <w:color w:val="auto"/>
          <w:highlight w:val="none"/>
        </w:rPr>
      </w:pPr>
      <w:r>
        <w:rPr>
          <w:rFonts w:hint="eastAsia" w:cs="宋体"/>
          <w:color w:val="auto"/>
          <w:highlight w:val="none"/>
        </w:rPr>
        <w:t>（1）资信</w:t>
      </w:r>
      <w:r>
        <w:rPr>
          <w:rFonts w:hint="eastAsia" w:cs="宋体"/>
          <w:color w:val="auto"/>
          <w:highlight w:val="none"/>
          <w:lang w:eastAsia="zh-CN"/>
        </w:rPr>
        <w:t>、</w:t>
      </w:r>
      <w:r>
        <w:rPr>
          <w:rFonts w:hint="eastAsia" w:cs="宋体"/>
          <w:color w:val="auto"/>
          <w:highlight w:val="none"/>
        </w:rPr>
        <w:t>技术</w:t>
      </w:r>
      <w:r>
        <w:rPr>
          <w:rFonts w:hint="eastAsia" w:cs="宋体"/>
          <w:color w:val="auto"/>
          <w:highlight w:val="none"/>
          <w:lang w:val="en-US" w:eastAsia="zh-CN"/>
        </w:rPr>
        <w:t>和价格</w:t>
      </w:r>
      <w:r>
        <w:rPr>
          <w:rFonts w:hint="eastAsia" w:cs="宋体"/>
          <w:color w:val="auto"/>
          <w:highlight w:val="none"/>
        </w:rPr>
        <w:t>分</w:t>
      </w:r>
    </w:p>
    <w:p w14:paraId="77E10388">
      <w:pPr>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根据评分细则，磋商小组应对进入综合评审的所有供应商进行评分，并分别填写综合评审表。</w:t>
      </w:r>
      <w:r>
        <w:rPr>
          <w:rFonts w:hint="eastAsia" w:cs="宋体"/>
          <w:color w:val="auto"/>
          <w:highlight w:val="none"/>
        </w:rPr>
        <w:t>资信</w:t>
      </w:r>
      <w:r>
        <w:rPr>
          <w:rFonts w:hint="eastAsia" w:cs="宋体"/>
          <w:color w:val="auto"/>
          <w:highlight w:val="none"/>
          <w:lang w:eastAsia="zh-CN"/>
        </w:rPr>
        <w:t>、</w:t>
      </w:r>
      <w:r>
        <w:rPr>
          <w:rFonts w:hint="eastAsia" w:cs="宋体"/>
          <w:color w:val="auto"/>
          <w:highlight w:val="none"/>
        </w:rPr>
        <w:t>技术</w:t>
      </w:r>
      <w:r>
        <w:rPr>
          <w:rFonts w:hint="eastAsia" w:cs="宋体"/>
          <w:color w:val="auto"/>
          <w:highlight w:val="none"/>
          <w:lang w:val="en-US" w:eastAsia="zh-CN"/>
        </w:rPr>
        <w:t>和价格</w:t>
      </w:r>
      <w:r>
        <w:rPr>
          <w:rFonts w:hint="eastAsia" w:cs="宋体"/>
          <w:color w:val="auto"/>
          <w:highlight w:val="none"/>
        </w:rPr>
        <w:t>分</w:t>
      </w:r>
      <w:r>
        <w:rPr>
          <w:rFonts w:hint="eastAsia" w:ascii="宋体" w:hAnsi="宋体" w:cs="宋体"/>
          <w:color w:val="auto"/>
          <w:szCs w:val="21"/>
          <w:highlight w:val="none"/>
        </w:rPr>
        <w:t>汇总方法为：各评委对某一供应商的每一个指标项打分并汇总，再取各位评委评分之平均值，保留至小数点后两位数，得到该供应商的</w:t>
      </w:r>
      <w:r>
        <w:rPr>
          <w:rFonts w:hint="eastAsia" w:cs="宋体"/>
          <w:color w:val="auto"/>
          <w:highlight w:val="none"/>
        </w:rPr>
        <w:t>资信</w:t>
      </w:r>
      <w:r>
        <w:rPr>
          <w:rFonts w:hint="eastAsia" w:cs="宋体"/>
          <w:color w:val="auto"/>
          <w:highlight w:val="none"/>
          <w:lang w:eastAsia="zh-CN"/>
        </w:rPr>
        <w:t>、</w:t>
      </w:r>
      <w:r>
        <w:rPr>
          <w:rFonts w:hint="eastAsia" w:cs="宋体"/>
          <w:color w:val="auto"/>
          <w:highlight w:val="none"/>
        </w:rPr>
        <w:t>技术</w:t>
      </w:r>
      <w:r>
        <w:rPr>
          <w:rFonts w:hint="eastAsia" w:cs="宋体"/>
          <w:color w:val="auto"/>
          <w:highlight w:val="none"/>
          <w:lang w:val="en-US" w:eastAsia="zh-CN"/>
        </w:rPr>
        <w:t>和价格</w:t>
      </w:r>
      <w:r>
        <w:rPr>
          <w:rFonts w:hint="eastAsia" w:cs="宋体"/>
          <w:color w:val="auto"/>
          <w:highlight w:val="none"/>
        </w:rPr>
        <w:t>分</w:t>
      </w:r>
      <w:r>
        <w:rPr>
          <w:rFonts w:hint="eastAsia" w:ascii="宋体" w:hAnsi="宋体" w:cs="宋体"/>
          <w:color w:val="auto"/>
          <w:szCs w:val="21"/>
          <w:highlight w:val="none"/>
        </w:rPr>
        <w:t>之和，即总得分。</w:t>
      </w:r>
    </w:p>
    <w:p w14:paraId="49D9AA84">
      <w:pPr>
        <w:adjustRightInd w:val="0"/>
        <w:snapToGrid w:val="0"/>
        <w:spacing w:line="440" w:lineRule="exact"/>
        <w:ind w:firstLine="422" w:firstLineChars="200"/>
        <w:rPr>
          <w:rFonts w:hint="eastAsia" w:ascii="宋体" w:hAnsi="宋体" w:cs="宋体"/>
          <w:color w:val="auto"/>
          <w:highlight w:val="none"/>
        </w:rPr>
      </w:pPr>
      <w:r>
        <w:rPr>
          <w:rFonts w:hint="eastAsia" w:ascii="宋体" w:hAnsi="宋体" w:cs="宋体"/>
          <w:b/>
          <w:bCs/>
          <w:color w:val="auto"/>
          <w:szCs w:val="21"/>
          <w:highlight w:val="none"/>
        </w:rPr>
        <w:t>综合评审指标详见下表：</w:t>
      </w:r>
    </w:p>
    <w:tbl>
      <w:tblPr>
        <w:tblStyle w:val="35"/>
        <w:tblW w:w="9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
        <w:gridCol w:w="1090"/>
        <w:gridCol w:w="6657"/>
        <w:gridCol w:w="1065"/>
      </w:tblGrid>
      <w:tr w14:paraId="0FD5D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966" w:type="dxa"/>
            <w:tcBorders>
              <w:top w:val="single" w:color="auto" w:sz="4" w:space="0"/>
              <w:left w:val="single" w:color="auto" w:sz="4" w:space="0"/>
              <w:bottom w:val="single" w:color="auto" w:sz="4" w:space="0"/>
              <w:right w:val="single" w:color="auto" w:sz="4" w:space="0"/>
            </w:tcBorders>
            <w:noWrap w:val="0"/>
            <w:vAlign w:val="center"/>
          </w:tcPr>
          <w:p w14:paraId="697D749D">
            <w:pPr>
              <w:keepNext w:val="0"/>
              <w:keepLines w:val="0"/>
              <w:pageBreakBefore w:val="0"/>
              <w:kinsoku/>
              <w:wordWrap/>
              <w:overflowPunct/>
              <w:topLinePunct w:val="0"/>
              <w:bidi w:val="0"/>
              <w:adjustRightInd/>
              <w:snapToGrid/>
              <w:spacing w:line="44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类别</w:t>
            </w:r>
          </w:p>
        </w:tc>
        <w:tc>
          <w:tcPr>
            <w:tcW w:w="1090" w:type="dxa"/>
            <w:tcBorders>
              <w:top w:val="single" w:color="auto" w:sz="4" w:space="0"/>
              <w:left w:val="single" w:color="auto" w:sz="4" w:space="0"/>
              <w:bottom w:val="single" w:color="auto" w:sz="4" w:space="0"/>
              <w:right w:val="single" w:color="auto" w:sz="4" w:space="0"/>
            </w:tcBorders>
            <w:noWrap w:val="0"/>
            <w:vAlign w:val="center"/>
          </w:tcPr>
          <w:p w14:paraId="71F48DCE">
            <w:pPr>
              <w:keepNext w:val="0"/>
              <w:keepLines w:val="0"/>
              <w:pageBreakBefore w:val="0"/>
              <w:kinsoku/>
              <w:wordWrap/>
              <w:overflowPunct/>
              <w:topLinePunct w:val="0"/>
              <w:bidi w:val="0"/>
              <w:adjustRightInd/>
              <w:snapToGrid/>
              <w:spacing w:line="44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评分因素</w:t>
            </w:r>
          </w:p>
        </w:tc>
        <w:tc>
          <w:tcPr>
            <w:tcW w:w="6657" w:type="dxa"/>
            <w:tcBorders>
              <w:top w:val="single" w:color="auto" w:sz="4" w:space="0"/>
              <w:left w:val="single" w:color="auto" w:sz="4" w:space="0"/>
              <w:bottom w:val="single" w:color="auto" w:sz="4" w:space="0"/>
              <w:right w:val="single" w:color="auto" w:sz="4" w:space="0"/>
            </w:tcBorders>
            <w:noWrap w:val="0"/>
            <w:vAlign w:val="center"/>
          </w:tcPr>
          <w:p w14:paraId="149CADA9">
            <w:pPr>
              <w:keepNext w:val="0"/>
              <w:keepLines w:val="0"/>
              <w:pageBreakBefore w:val="0"/>
              <w:kinsoku/>
              <w:wordWrap/>
              <w:overflowPunct/>
              <w:topLinePunct w:val="0"/>
              <w:bidi w:val="0"/>
              <w:adjustRightInd/>
              <w:snapToGrid/>
              <w:spacing w:line="44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BD71917">
            <w:pPr>
              <w:keepNext w:val="0"/>
              <w:keepLines w:val="0"/>
              <w:pageBreakBefore w:val="0"/>
              <w:kinsoku/>
              <w:wordWrap/>
              <w:overflowPunct/>
              <w:topLinePunct w:val="0"/>
              <w:bidi w:val="0"/>
              <w:adjustRightInd/>
              <w:snapToGrid/>
              <w:spacing w:line="44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评审细则</w:t>
            </w:r>
          </w:p>
        </w:tc>
      </w:tr>
      <w:tr w14:paraId="1ECB3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6" w:type="dxa"/>
            <w:vMerge w:val="restart"/>
            <w:tcBorders>
              <w:top w:val="single" w:color="auto" w:sz="4" w:space="0"/>
              <w:left w:val="single" w:color="auto" w:sz="4" w:space="0"/>
              <w:right w:val="single" w:color="auto" w:sz="4" w:space="0"/>
            </w:tcBorders>
            <w:noWrap w:val="0"/>
            <w:vAlign w:val="center"/>
          </w:tcPr>
          <w:p w14:paraId="251D947B">
            <w:pPr>
              <w:pStyle w:val="2"/>
              <w:keepNext w:val="0"/>
              <w:keepLines w:val="0"/>
              <w:pageBreakBefore w:val="0"/>
              <w:kinsoku/>
              <w:wordWrap/>
              <w:overflowPunct/>
              <w:topLinePunct w:val="0"/>
              <w:bidi w:val="0"/>
              <w:adjustRightInd/>
              <w:snapToGrid/>
              <w:spacing w:line="44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资信分</w:t>
            </w:r>
          </w:p>
          <w:p w14:paraId="35B92436">
            <w:pPr>
              <w:pStyle w:val="2"/>
              <w:keepNext w:val="0"/>
              <w:keepLines w:val="0"/>
              <w:pageBreakBefore w:val="0"/>
              <w:kinsoku/>
              <w:wordWrap/>
              <w:overflowPunct/>
              <w:topLinePunct w:val="0"/>
              <w:bidi w:val="0"/>
              <w:adjustRightInd/>
              <w:snapToGrid/>
              <w:spacing w:line="44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35</w:t>
            </w:r>
            <w:r>
              <w:rPr>
                <w:rFonts w:hint="eastAsia" w:cs="宋体"/>
                <w:color w:val="auto"/>
                <w:sz w:val="21"/>
                <w:szCs w:val="21"/>
                <w:highlight w:val="none"/>
                <w:lang w:val="en-US" w:eastAsia="zh-CN"/>
              </w:rPr>
              <w:t>分</w:t>
            </w:r>
            <w:r>
              <w:rPr>
                <w:rFonts w:hint="eastAsia" w:ascii="宋体" w:hAnsi="宋体" w:eastAsia="宋体" w:cs="宋体"/>
                <w:color w:val="auto"/>
                <w:sz w:val="21"/>
                <w:szCs w:val="21"/>
                <w:highlight w:val="none"/>
              </w:rPr>
              <w:t>）</w:t>
            </w:r>
          </w:p>
        </w:tc>
        <w:tc>
          <w:tcPr>
            <w:tcW w:w="1090" w:type="dxa"/>
            <w:tcBorders>
              <w:top w:val="single" w:color="auto" w:sz="4" w:space="0"/>
              <w:left w:val="single" w:color="auto" w:sz="4" w:space="0"/>
              <w:right w:val="single" w:color="auto" w:sz="4" w:space="0"/>
            </w:tcBorders>
            <w:noWrap w:val="0"/>
            <w:vAlign w:val="center"/>
          </w:tcPr>
          <w:p w14:paraId="56DAF490">
            <w:pPr>
              <w:keepNext w:val="0"/>
              <w:keepLines w:val="0"/>
              <w:pageBreakBefore w:val="0"/>
              <w:kinsoku/>
              <w:wordWrap/>
              <w:overflowPunct/>
              <w:topLinePunct w:val="0"/>
              <w:bidi w:val="0"/>
              <w:adjustRightInd/>
              <w:snapToGrid/>
              <w:spacing w:line="440" w:lineRule="exact"/>
              <w:ind w:firstLine="0" w:firstLine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企业业绩</w:t>
            </w:r>
          </w:p>
        </w:tc>
        <w:tc>
          <w:tcPr>
            <w:tcW w:w="6657" w:type="dxa"/>
            <w:tcBorders>
              <w:top w:val="single" w:color="auto" w:sz="4" w:space="0"/>
              <w:left w:val="single" w:color="auto" w:sz="4" w:space="0"/>
              <w:bottom w:val="single" w:color="auto" w:sz="4" w:space="0"/>
              <w:right w:val="single" w:color="auto" w:sz="4" w:space="0"/>
            </w:tcBorders>
            <w:noWrap w:val="0"/>
            <w:vAlign w:val="center"/>
          </w:tcPr>
          <w:p w14:paraId="701539CE">
            <w:pPr>
              <w:keepNext w:val="0"/>
              <w:keepLines w:val="0"/>
              <w:pageBreakBefore w:val="0"/>
              <w:kinsoku/>
              <w:wordWrap/>
              <w:overflowPunct/>
              <w:topLinePunct w:val="0"/>
              <w:bidi w:val="0"/>
              <w:adjustRightInd/>
              <w:snapToGrid/>
              <w:spacing w:line="440" w:lineRule="exact"/>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2021年1月1日</w:t>
            </w:r>
            <w:r>
              <w:rPr>
                <w:rFonts w:hint="eastAsia" w:ascii="宋体" w:hAnsi="宋体" w:eastAsia="宋体" w:cs="宋体"/>
                <w:b w:val="0"/>
                <w:bCs/>
                <w:color w:val="auto"/>
                <w:sz w:val="21"/>
                <w:szCs w:val="21"/>
                <w:highlight w:val="none"/>
                <w:lang w:val="en-US" w:eastAsia="zh-CN"/>
              </w:rPr>
              <w:t>至投标截止时间内，供应商具有档案数字化服务项目类似业绩的，每提供1个对应业绩的得</w:t>
            </w:r>
            <w:r>
              <w:rPr>
                <w:rFonts w:hint="eastAsia" w:ascii="宋体" w:hAnsi="宋体" w:eastAsia="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lang w:val="en-US" w:eastAsia="zh-CN"/>
              </w:rPr>
              <w:t>分，本项满分</w:t>
            </w:r>
            <w:r>
              <w:rPr>
                <w:rFonts w:hint="eastAsia" w:ascii="宋体" w:hAnsi="宋体" w:eastAsia="宋体" w:cs="宋体"/>
                <w:b w:val="0"/>
                <w:bCs/>
                <w:color w:val="auto"/>
                <w:sz w:val="21"/>
                <w:szCs w:val="21"/>
                <w:highlight w:val="none"/>
                <w:lang w:val="en-US" w:eastAsia="zh-CN"/>
              </w:rPr>
              <w:t>6</w:t>
            </w:r>
            <w:r>
              <w:rPr>
                <w:rFonts w:hint="eastAsia" w:ascii="宋体" w:hAnsi="宋体" w:eastAsia="宋体" w:cs="宋体"/>
                <w:b w:val="0"/>
                <w:bCs/>
                <w:color w:val="auto"/>
                <w:sz w:val="21"/>
                <w:szCs w:val="21"/>
                <w:highlight w:val="none"/>
                <w:lang w:val="en-US" w:eastAsia="zh-CN"/>
              </w:rPr>
              <w:t>分，未提供不得分。</w:t>
            </w:r>
          </w:p>
          <w:p w14:paraId="64B17519">
            <w:pPr>
              <w:pStyle w:val="74"/>
              <w:keepNext w:val="0"/>
              <w:keepLines w:val="0"/>
              <w:pageBreakBefore w:val="0"/>
              <w:kinsoku/>
              <w:wordWrap/>
              <w:overflowPunct/>
              <w:topLinePunct w:val="0"/>
              <w:bidi w:val="0"/>
              <w:adjustRightInd/>
              <w:snapToGrid/>
              <w:spacing w:line="440" w:lineRule="exact"/>
              <w:ind w:firstLine="0" w:firstLine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注：提供业绩合同</w:t>
            </w:r>
            <w:r>
              <w:rPr>
                <w:rFonts w:hint="eastAsia" w:ascii="宋体" w:hAnsi="宋体" w:eastAsia="宋体" w:cs="宋体"/>
                <w:b/>
                <w:bCs/>
                <w:color w:val="auto"/>
                <w:sz w:val="21"/>
                <w:szCs w:val="21"/>
                <w:highlight w:val="none"/>
                <w:lang w:val="en-US" w:eastAsia="zh-CN"/>
              </w:rPr>
              <w:t>复印件加盖单位公章</w:t>
            </w:r>
            <w:r>
              <w:rPr>
                <w:rFonts w:hint="eastAsia" w:ascii="宋体" w:hAnsi="宋体" w:eastAsia="宋体" w:cs="宋体"/>
                <w:b/>
                <w:bCs/>
                <w:color w:val="auto"/>
                <w:sz w:val="21"/>
                <w:szCs w:val="21"/>
                <w:highlight w:val="none"/>
              </w:rPr>
              <w:t>，如合同无法体现项目内容、合同双方名称等内容，须另附加盖</w:t>
            </w:r>
            <w:r>
              <w:rPr>
                <w:rFonts w:hint="eastAsia" w:ascii="宋体" w:hAnsi="宋体" w:eastAsia="宋体" w:cs="宋体"/>
                <w:b/>
                <w:bCs/>
                <w:color w:val="auto"/>
                <w:sz w:val="21"/>
                <w:szCs w:val="21"/>
                <w:highlight w:val="none"/>
                <w:lang w:val="en-US" w:eastAsia="zh-CN"/>
              </w:rPr>
              <w:t>业绩</w:t>
            </w:r>
            <w:r>
              <w:rPr>
                <w:rFonts w:hint="eastAsia" w:ascii="宋体" w:hAnsi="宋体" w:eastAsia="宋体" w:cs="宋体"/>
                <w:b/>
                <w:bCs/>
                <w:color w:val="auto"/>
                <w:sz w:val="21"/>
                <w:szCs w:val="21"/>
                <w:highlight w:val="none"/>
              </w:rPr>
              <w:t>业主公章（或部门章）的证明材料，否则不得分。</w:t>
            </w:r>
            <w:r>
              <w:rPr>
                <w:rFonts w:hint="eastAsia" w:ascii="宋体" w:hAnsi="宋体" w:eastAsia="宋体" w:cs="宋体"/>
                <w:b/>
                <w:bCs/>
                <w:color w:val="auto"/>
                <w:sz w:val="21"/>
                <w:szCs w:val="21"/>
                <w:highlight w:val="none"/>
                <w:lang w:val="en-US" w:eastAsia="zh-CN"/>
              </w:rPr>
              <w:t>业绩时间以合同签署日期为准；同一个业绩按年度签订的，只按一个业绩计算。</w:t>
            </w:r>
          </w:p>
        </w:tc>
        <w:tc>
          <w:tcPr>
            <w:tcW w:w="1065" w:type="dxa"/>
            <w:tcBorders>
              <w:top w:val="single" w:color="auto" w:sz="4" w:space="0"/>
              <w:left w:val="single" w:color="auto" w:sz="4" w:space="0"/>
              <w:right w:val="single" w:color="auto" w:sz="4" w:space="0"/>
            </w:tcBorders>
            <w:noWrap w:val="0"/>
            <w:vAlign w:val="center"/>
          </w:tcPr>
          <w:p w14:paraId="703765AC">
            <w:pPr>
              <w:pStyle w:val="2"/>
              <w:keepNext w:val="0"/>
              <w:keepLines w:val="0"/>
              <w:pageBreakBefore w:val="0"/>
              <w:kinsoku/>
              <w:wordWrap/>
              <w:overflowPunct/>
              <w:topLinePunct w:val="0"/>
              <w:bidi w:val="0"/>
              <w:adjustRightInd/>
              <w:snapToGrid/>
              <w:spacing w:line="440" w:lineRule="exact"/>
              <w:ind w:firstLine="0" w:firstLineChars="0"/>
              <w:jc w:val="center"/>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r>
      <w:tr w14:paraId="1CF73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jc w:val="center"/>
        </w:trPr>
        <w:tc>
          <w:tcPr>
            <w:tcW w:w="966" w:type="dxa"/>
            <w:vMerge w:val="continue"/>
            <w:tcBorders>
              <w:left w:val="single" w:color="auto" w:sz="4" w:space="0"/>
              <w:right w:val="single" w:color="auto" w:sz="4" w:space="0"/>
            </w:tcBorders>
            <w:noWrap w:val="0"/>
            <w:vAlign w:val="center"/>
          </w:tcPr>
          <w:p w14:paraId="692BBA72">
            <w:pPr>
              <w:pStyle w:val="2"/>
              <w:keepNext w:val="0"/>
              <w:keepLines w:val="0"/>
              <w:pageBreakBefore w:val="0"/>
              <w:kinsoku/>
              <w:wordWrap/>
              <w:overflowPunct/>
              <w:topLinePunct w:val="0"/>
              <w:bidi w:val="0"/>
              <w:adjustRightInd/>
              <w:snapToGrid/>
              <w:spacing w:line="440" w:lineRule="exact"/>
              <w:ind w:firstLine="0" w:firstLineChars="0"/>
              <w:jc w:val="center"/>
              <w:rPr>
                <w:rFonts w:hint="eastAsia" w:ascii="宋体" w:hAnsi="宋体" w:eastAsia="宋体" w:cs="宋体"/>
                <w:color w:val="auto"/>
                <w:sz w:val="21"/>
                <w:szCs w:val="21"/>
                <w:highlight w:val="none"/>
              </w:rPr>
            </w:pPr>
          </w:p>
        </w:tc>
        <w:tc>
          <w:tcPr>
            <w:tcW w:w="1090" w:type="dxa"/>
            <w:tcBorders>
              <w:top w:val="single" w:color="auto" w:sz="4" w:space="0"/>
              <w:left w:val="single" w:color="auto" w:sz="4" w:space="0"/>
              <w:right w:val="single" w:color="auto" w:sz="4" w:space="0"/>
            </w:tcBorders>
            <w:noWrap w:val="0"/>
            <w:vAlign w:val="center"/>
          </w:tcPr>
          <w:p w14:paraId="7FB4869F">
            <w:pPr>
              <w:keepNext w:val="0"/>
              <w:keepLines w:val="0"/>
              <w:pageBreakBefore w:val="0"/>
              <w:kinsoku/>
              <w:wordWrap/>
              <w:overflowPunct/>
              <w:topLinePunct w:val="0"/>
              <w:bidi w:val="0"/>
              <w:adjustRightInd/>
              <w:snapToGrid/>
              <w:spacing w:line="440" w:lineRule="exact"/>
              <w:jc w:val="center"/>
              <w:rPr>
                <w:rFonts w:hint="default" w:ascii="宋体" w:hAnsi="宋体" w:eastAsia="宋体" w:cs="宋体"/>
                <w:b w:val="0"/>
                <w:bCs/>
                <w:color w:val="auto"/>
                <w:kern w:val="2"/>
                <w:sz w:val="21"/>
                <w:szCs w:val="21"/>
                <w:highlight w:val="none"/>
                <w:lang w:val="en-US" w:eastAsia="zh-CN"/>
              </w:rPr>
            </w:pPr>
            <w:r>
              <w:rPr>
                <w:rFonts w:hint="eastAsia" w:ascii="宋体" w:hAnsi="宋体" w:eastAsia="宋体" w:cs="宋体"/>
                <w:b w:val="0"/>
                <w:bCs/>
                <w:color w:val="auto"/>
                <w:kern w:val="2"/>
                <w:sz w:val="21"/>
                <w:szCs w:val="21"/>
                <w:highlight w:val="none"/>
                <w:lang w:val="en-US" w:eastAsia="zh-CN"/>
              </w:rPr>
              <w:t>综合实力</w:t>
            </w:r>
          </w:p>
          <w:p w14:paraId="0113151B">
            <w:pPr>
              <w:keepNext w:val="0"/>
              <w:keepLines w:val="0"/>
              <w:pageBreakBefore w:val="0"/>
              <w:kinsoku/>
              <w:wordWrap/>
              <w:overflowPunct/>
              <w:topLinePunct w:val="0"/>
              <w:bidi w:val="0"/>
              <w:adjustRightInd/>
              <w:snapToGrid/>
              <w:spacing w:line="440" w:lineRule="exact"/>
              <w:ind w:firstLine="0" w:firstLineChars="0"/>
              <w:jc w:val="center"/>
              <w:rPr>
                <w:rFonts w:hint="eastAsia" w:ascii="宋体" w:hAnsi="宋体" w:eastAsia="宋体" w:cs="宋体"/>
                <w:color w:val="auto"/>
                <w:sz w:val="21"/>
                <w:szCs w:val="21"/>
                <w:highlight w:val="none"/>
              </w:rPr>
            </w:pPr>
          </w:p>
        </w:tc>
        <w:tc>
          <w:tcPr>
            <w:tcW w:w="6657" w:type="dxa"/>
            <w:tcBorders>
              <w:top w:val="single" w:color="auto" w:sz="4" w:space="0"/>
              <w:left w:val="single" w:color="auto" w:sz="4" w:space="0"/>
              <w:bottom w:val="single" w:color="auto" w:sz="4" w:space="0"/>
              <w:right w:val="single" w:color="auto" w:sz="4" w:space="0"/>
            </w:tcBorders>
            <w:noWrap w:val="0"/>
            <w:vAlign w:val="center"/>
          </w:tcPr>
          <w:p w14:paraId="7552323B">
            <w:pPr>
              <w:keepNext w:val="0"/>
              <w:keepLines w:val="0"/>
              <w:pageBreakBefore w:val="0"/>
              <w:kinsoku/>
              <w:wordWrap/>
              <w:overflowPunct/>
              <w:topLinePunct w:val="0"/>
              <w:bidi w:val="0"/>
              <w:adjustRightInd/>
              <w:snapToGrid/>
              <w:spacing w:line="440" w:lineRule="exact"/>
              <w:jc w:val="both"/>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具有质量管理体系、知识产权管理体系、风险管理体系、信息安全管理体系、</w:t>
            </w:r>
            <w:r>
              <w:rPr>
                <w:rFonts w:hint="eastAsia" w:ascii="宋体" w:hAnsi="宋体" w:eastAsia="宋体" w:cs="宋体"/>
                <w:b w:val="0"/>
                <w:bCs/>
                <w:color w:val="auto"/>
                <w:sz w:val="21"/>
                <w:szCs w:val="21"/>
                <w:highlight w:val="none"/>
                <w:lang w:val="en-US" w:eastAsia="zh-CN"/>
              </w:rPr>
              <w:t>售后服务认证证书</w:t>
            </w:r>
            <w:r>
              <w:rPr>
                <w:rFonts w:hint="eastAsia" w:ascii="宋体" w:hAnsi="宋体" w:eastAsia="宋体" w:cs="宋体"/>
                <w:b w:val="0"/>
                <w:bCs/>
                <w:color w:val="auto"/>
                <w:sz w:val="21"/>
                <w:szCs w:val="21"/>
                <w:highlight w:val="none"/>
              </w:rPr>
              <w:t>，每提供一项</w:t>
            </w:r>
            <w:r>
              <w:rPr>
                <w:rFonts w:hint="eastAsia" w:ascii="宋体" w:hAnsi="宋体" w:eastAsia="宋体" w:cs="宋体"/>
                <w:b w:val="0"/>
                <w:bCs/>
                <w:color w:val="auto"/>
                <w:sz w:val="21"/>
                <w:szCs w:val="21"/>
                <w:highlight w:val="none"/>
                <w:lang w:eastAsia="zh-CN"/>
              </w:rPr>
              <w:t>对应</w:t>
            </w:r>
            <w:r>
              <w:rPr>
                <w:rFonts w:hint="eastAsia" w:ascii="宋体" w:hAnsi="宋体" w:eastAsia="宋体" w:cs="宋体"/>
                <w:b w:val="0"/>
                <w:bCs/>
                <w:color w:val="auto"/>
                <w:sz w:val="21"/>
                <w:szCs w:val="21"/>
                <w:highlight w:val="none"/>
              </w:rPr>
              <w:t>证书得1分，</w:t>
            </w:r>
            <w:r>
              <w:rPr>
                <w:rFonts w:hint="eastAsia" w:ascii="宋体" w:hAnsi="宋体" w:eastAsia="宋体" w:cs="宋体"/>
                <w:b w:val="0"/>
                <w:bCs/>
                <w:color w:val="auto"/>
                <w:sz w:val="21"/>
                <w:szCs w:val="21"/>
                <w:highlight w:val="none"/>
                <w:lang w:val="en-US" w:eastAsia="zh-CN"/>
              </w:rPr>
              <w:t>满分</w:t>
            </w:r>
            <w:r>
              <w:rPr>
                <w:rFonts w:hint="eastAsia" w:ascii="宋体" w:hAnsi="宋体" w:eastAsia="宋体" w:cs="宋体"/>
                <w:b w:val="0"/>
                <w:bCs/>
                <w:color w:val="auto"/>
                <w:sz w:val="21"/>
                <w:szCs w:val="21"/>
                <w:highlight w:val="none"/>
              </w:rPr>
              <w:t>5分。</w:t>
            </w:r>
          </w:p>
          <w:p w14:paraId="2A4DE566">
            <w:pPr>
              <w:keepNext w:val="0"/>
              <w:keepLines w:val="0"/>
              <w:pageBreakBefore w:val="0"/>
              <w:kinsoku/>
              <w:wordWrap/>
              <w:overflowPunct/>
              <w:topLinePunct w:val="0"/>
              <w:bidi w:val="0"/>
              <w:adjustRightInd/>
              <w:snapToGrid/>
              <w:spacing w:line="440" w:lineRule="exact"/>
              <w:jc w:val="both"/>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具有信息系统建设和服务能力等级证书的得2分。</w:t>
            </w:r>
          </w:p>
          <w:p w14:paraId="21A0D3DD">
            <w:pPr>
              <w:keepNext w:val="0"/>
              <w:keepLines w:val="0"/>
              <w:pageBreakBefore w:val="0"/>
              <w:kinsoku/>
              <w:wordWrap/>
              <w:overflowPunct/>
              <w:topLinePunct w:val="0"/>
              <w:bidi w:val="0"/>
              <w:adjustRightInd/>
              <w:snapToGrid/>
              <w:spacing w:line="440" w:lineRule="exact"/>
              <w:jc w:val="both"/>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具有国家秘密载体印制资质证书(乙级及以上)</w:t>
            </w:r>
            <w:r>
              <w:rPr>
                <w:rFonts w:hint="eastAsia" w:ascii="宋体" w:hAnsi="宋体" w:eastAsia="宋体" w:cs="宋体"/>
                <w:b w:val="0"/>
                <w:bCs/>
                <w:color w:val="auto"/>
                <w:sz w:val="21"/>
                <w:szCs w:val="21"/>
                <w:highlight w:val="none"/>
                <w:lang w:eastAsia="zh-CN"/>
              </w:rPr>
              <w:t>的</w:t>
            </w:r>
            <w:r>
              <w:rPr>
                <w:rFonts w:hint="eastAsia" w:ascii="宋体" w:hAnsi="宋体" w:eastAsia="宋体" w:cs="宋体"/>
                <w:b w:val="0"/>
                <w:bCs/>
                <w:color w:val="auto"/>
                <w:sz w:val="21"/>
                <w:szCs w:val="21"/>
                <w:highlight w:val="none"/>
              </w:rPr>
              <w:t>得2分。</w:t>
            </w:r>
          </w:p>
          <w:p w14:paraId="5976F764">
            <w:pPr>
              <w:keepNext w:val="0"/>
              <w:keepLines w:val="0"/>
              <w:pageBreakBefore w:val="0"/>
              <w:kinsoku/>
              <w:wordWrap/>
              <w:overflowPunct/>
              <w:topLinePunct w:val="0"/>
              <w:bidi w:val="0"/>
              <w:adjustRightInd/>
              <w:snapToGrid/>
              <w:spacing w:line="440" w:lineRule="exact"/>
              <w:jc w:val="both"/>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具有档案数字化加工</w:t>
            </w:r>
            <w:r>
              <w:rPr>
                <w:rFonts w:hint="eastAsia" w:ascii="宋体" w:hAnsi="宋体" w:eastAsia="宋体" w:cs="宋体"/>
                <w:b w:val="0"/>
                <w:bCs/>
                <w:color w:val="auto"/>
                <w:sz w:val="21"/>
                <w:szCs w:val="21"/>
                <w:highlight w:val="none"/>
              </w:rPr>
              <w:t>五星级证书</w:t>
            </w:r>
            <w:r>
              <w:rPr>
                <w:rFonts w:hint="eastAsia" w:ascii="宋体" w:hAnsi="宋体" w:eastAsia="宋体" w:cs="宋体"/>
                <w:b w:val="0"/>
                <w:bCs/>
                <w:color w:val="auto"/>
                <w:sz w:val="21"/>
                <w:szCs w:val="21"/>
                <w:highlight w:val="none"/>
              </w:rPr>
              <w:t>、计算机档案管理</w:t>
            </w:r>
            <w:r>
              <w:rPr>
                <w:rFonts w:hint="eastAsia" w:ascii="宋体" w:hAnsi="宋体" w:eastAsia="宋体" w:cs="宋体"/>
                <w:b w:val="0"/>
                <w:bCs/>
                <w:color w:val="auto"/>
                <w:sz w:val="21"/>
                <w:szCs w:val="21"/>
                <w:highlight w:val="none"/>
              </w:rPr>
              <w:t>五星级</w:t>
            </w:r>
            <w:r>
              <w:rPr>
                <w:rFonts w:hint="eastAsia" w:ascii="宋体" w:hAnsi="宋体" w:eastAsia="宋体" w:cs="宋体"/>
                <w:b w:val="0"/>
                <w:bCs/>
                <w:color w:val="auto"/>
                <w:sz w:val="21"/>
                <w:szCs w:val="21"/>
                <w:highlight w:val="none"/>
              </w:rPr>
              <w:t>证书、售后服务</w:t>
            </w:r>
            <w:r>
              <w:rPr>
                <w:rFonts w:hint="eastAsia" w:ascii="宋体" w:hAnsi="宋体" w:eastAsia="宋体" w:cs="宋体"/>
                <w:b w:val="0"/>
                <w:bCs/>
                <w:color w:val="auto"/>
                <w:sz w:val="21"/>
                <w:szCs w:val="21"/>
                <w:highlight w:val="none"/>
              </w:rPr>
              <w:t>五星级认</w:t>
            </w:r>
            <w:r>
              <w:rPr>
                <w:rFonts w:hint="eastAsia" w:ascii="宋体" w:hAnsi="宋体" w:eastAsia="宋体" w:cs="宋体"/>
                <w:b w:val="0"/>
                <w:bCs/>
                <w:color w:val="auto"/>
                <w:sz w:val="21"/>
                <w:szCs w:val="21"/>
                <w:highlight w:val="none"/>
              </w:rPr>
              <w:t>证证书的，每提供1个</w:t>
            </w:r>
            <w:r>
              <w:rPr>
                <w:rFonts w:hint="eastAsia" w:ascii="宋体" w:hAnsi="宋体" w:eastAsia="宋体" w:cs="宋体"/>
                <w:b w:val="0"/>
                <w:bCs/>
                <w:color w:val="auto"/>
                <w:sz w:val="21"/>
                <w:szCs w:val="21"/>
                <w:highlight w:val="none"/>
                <w:lang w:eastAsia="zh-CN"/>
              </w:rPr>
              <w:t>对应证书的</w:t>
            </w:r>
            <w:r>
              <w:rPr>
                <w:rFonts w:hint="eastAsia" w:ascii="宋体" w:hAnsi="宋体" w:eastAsia="宋体" w:cs="宋体"/>
                <w:b w:val="0"/>
                <w:bCs/>
                <w:color w:val="auto"/>
                <w:sz w:val="21"/>
                <w:szCs w:val="21"/>
                <w:highlight w:val="none"/>
              </w:rPr>
              <w:t>得1分，</w:t>
            </w:r>
            <w:r>
              <w:rPr>
                <w:rFonts w:hint="eastAsia" w:ascii="宋体" w:hAnsi="宋体" w:eastAsia="宋体" w:cs="宋体"/>
                <w:b w:val="0"/>
                <w:bCs/>
                <w:color w:val="auto"/>
                <w:sz w:val="21"/>
                <w:szCs w:val="21"/>
                <w:highlight w:val="none"/>
                <w:lang w:val="en-US" w:eastAsia="zh-CN"/>
              </w:rPr>
              <w:t>满分</w:t>
            </w:r>
            <w:r>
              <w:rPr>
                <w:rFonts w:hint="eastAsia" w:ascii="宋体" w:hAnsi="宋体" w:eastAsia="宋体" w:cs="宋体"/>
                <w:b w:val="0"/>
                <w:bCs/>
                <w:color w:val="auto"/>
                <w:sz w:val="21"/>
                <w:szCs w:val="21"/>
                <w:highlight w:val="none"/>
              </w:rPr>
              <w:t>3分。</w:t>
            </w:r>
          </w:p>
          <w:p w14:paraId="2DDBDE4A">
            <w:pPr>
              <w:keepNext w:val="0"/>
              <w:keepLines w:val="0"/>
              <w:pageBreakBefore w:val="0"/>
              <w:kinsoku/>
              <w:wordWrap/>
              <w:overflowPunct/>
              <w:topLinePunct w:val="0"/>
              <w:bidi w:val="0"/>
              <w:adjustRightInd/>
              <w:snapToGrid/>
              <w:spacing w:line="440" w:lineRule="exact"/>
              <w:jc w:val="both"/>
              <w:rPr>
                <w:rFonts w:hint="eastAsia" w:ascii="宋体" w:hAnsi="宋体" w:eastAsia="宋体" w:cs="宋体"/>
                <w:b/>
                <w:bCs/>
                <w:color w:val="auto"/>
                <w:sz w:val="21"/>
                <w:szCs w:val="21"/>
                <w:highlight w:val="none"/>
                <w:lang w:eastAsia="zh-CN"/>
              </w:rPr>
            </w:pPr>
            <w:r>
              <w:rPr>
                <w:rFonts w:hint="eastAsia" w:ascii="宋体" w:hAnsi="宋体" w:eastAsia="宋体" w:cs="宋体"/>
                <w:b/>
                <w:bCs w:val="0"/>
                <w:color w:val="auto"/>
                <w:sz w:val="21"/>
                <w:szCs w:val="21"/>
                <w:highlight w:val="none"/>
              </w:rPr>
              <w:t>注：</w:t>
            </w:r>
            <w:r>
              <w:rPr>
                <w:rFonts w:hint="eastAsia" w:ascii="宋体" w:hAnsi="宋体" w:eastAsia="宋体" w:cs="宋体"/>
                <w:b/>
                <w:bCs w:val="0"/>
                <w:color w:val="auto"/>
                <w:sz w:val="21"/>
                <w:szCs w:val="21"/>
                <w:highlight w:val="none"/>
                <w:lang w:val="en-US" w:eastAsia="zh-CN"/>
              </w:rPr>
              <w:t>提供上述相应证书复印件加盖单位公章，上述证书须在有效期内，且证书单位名称与供应商名称一致，本项不重复计分，否则不得分。</w:t>
            </w:r>
          </w:p>
        </w:tc>
        <w:tc>
          <w:tcPr>
            <w:tcW w:w="1065" w:type="dxa"/>
            <w:tcBorders>
              <w:top w:val="single" w:color="auto" w:sz="4" w:space="0"/>
              <w:left w:val="single" w:color="auto" w:sz="4" w:space="0"/>
              <w:right w:val="single" w:color="auto" w:sz="4" w:space="0"/>
            </w:tcBorders>
            <w:noWrap w:val="0"/>
            <w:vAlign w:val="center"/>
          </w:tcPr>
          <w:p w14:paraId="516A1EAE">
            <w:pPr>
              <w:pStyle w:val="2"/>
              <w:keepNext w:val="0"/>
              <w:keepLines w:val="0"/>
              <w:pageBreakBefore w:val="0"/>
              <w:kinsoku/>
              <w:wordWrap/>
              <w:overflowPunct/>
              <w:topLinePunct w:val="0"/>
              <w:bidi w:val="0"/>
              <w:adjustRightInd/>
              <w:snapToGrid/>
              <w:spacing w:line="44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分</w:t>
            </w:r>
          </w:p>
        </w:tc>
      </w:tr>
      <w:tr w14:paraId="270E7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966" w:type="dxa"/>
            <w:vMerge w:val="continue"/>
            <w:tcBorders>
              <w:left w:val="single" w:color="auto" w:sz="4" w:space="0"/>
              <w:right w:val="single" w:color="auto" w:sz="4" w:space="0"/>
            </w:tcBorders>
            <w:noWrap w:val="0"/>
            <w:vAlign w:val="center"/>
          </w:tcPr>
          <w:p w14:paraId="786D6C31">
            <w:pPr>
              <w:pStyle w:val="2"/>
              <w:keepNext w:val="0"/>
              <w:keepLines w:val="0"/>
              <w:pageBreakBefore w:val="0"/>
              <w:kinsoku/>
              <w:wordWrap/>
              <w:overflowPunct/>
              <w:topLinePunct w:val="0"/>
              <w:bidi w:val="0"/>
              <w:adjustRightInd/>
              <w:snapToGrid/>
              <w:spacing w:line="440" w:lineRule="exact"/>
              <w:ind w:firstLine="0" w:firstLineChars="0"/>
              <w:jc w:val="center"/>
              <w:rPr>
                <w:rFonts w:hint="eastAsia" w:ascii="宋体" w:hAnsi="宋体" w:eastAsia="宋体" w:cs="宋体"/>
                <w:color w:val="auto"/>
                <w:sz w:val="21"/>
                <w:szCs w:val="21"/>
                <w:highlight w:val="none"/>
              </w:rPr>
            </w:pPr>
          </w:p>
        </w:tc>
        <w:tc>
          <w:tcPr>
            <w:tcW w:w="1090" w:type="dxa"/>
            <w:tcBorders>
              <w:top w:val="single" w:color="auto" w:sz="4" w:space="0"/>
              <w:left w:val="single" w:color="auto" w:sz="4" w:space="0"/>
              <w:right w:val="single" w:color="auto" w:sz="4" w:space="0"/>
            </w:tcBorders>
            <w:noWrap w:val="0"/>
            <w:vAlign w:val="center"/>
          </w:tcPr>
          <w:p w14:paraId="760EF346">
            <w:pPr>
              <w:keepNext w:val="0"/>
              <w:keepLines w:val="0"/>
              <w:pageBreakBefore w:val="0"/>
              <w:kinsoku/>
              <w:wordWrap/>
              <w:overflowPunct/>
              <w:topLinePunct w:val="0"/>
              <w:bidi w:val="0"/>
              <w:adjustRightInd/>
              <w:snapToGrid/>
              <w:spacing w:line="44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软件著作权</w:t>
            </w:r>
          </w:p>
        </w:tc>
        <w:tc>
          <w:tcPr>
            <w:tcW w:w="6657" w:type="dxa"/>
            <w:tcBorders>
              <w:top w:val="single" w:color="auto" w:sz="4" w:space="0"/>
              <w:left w:val="single" w:color="auto" w:sz="4" w:space="0"/>
              <w:bottom w:val="single" w:color="auto" w:sz="4" w:space="0"/>
              <w:right w:val="single" w:color="auto" w:sz="4" w:space="0"/>
            </w:tcBorders>
            <w:noWrap w:val="0"/>
            <w:vAlign w:val="center"/>
          </w:tcPr>
          <w:p w14:paraId="374E8EB5">
            <w:pPr>
              <w:keepNext w:val="0"/>
              <w:keepLines w:val="0"/>
              <w:pageBreakBefore w:val="0"/>
              <w:kinsoku/>
              <w:wordWrap/>
              <w:overflowPunct/>
              <w:topLinePunct w:val="0"/>
              <w:bidi w:val="0"/>
              <w:adjustRightInd/>
              <w:snapToGrid/>
              <w:spacing w:line="440" w:lineRule="exact"/>
              <w:jc w:val="both"/>
              <w:rPr>
                <w:rFonts w:hint="eastAsia" w:ascii="宋体" w:hAnsi="宋体" w:eastAsia="宋体" w:cs="宋体"/>
                <w:b w:val="0"/>
                <w:bCs/>
                <w:color w:val="auto"/>
                <w:sz w:val="21"/>
                <w:szCs w:val="21"/>
                <w:highlight w:val="none"/>
                <w:lang w:val="en-US" w:eastAsia="zh-CN"/>
              </w:rPr>
            </w:pPr>
            <w:r>
              <w:rPr>
                <w:rFonts w:hint="eastAsia" w:ascii="宋体" w:hAnsi="宋体" w:eastAsia="宋体" w:cs="宋体"/>
                <w:color w:val="auto"/>
                <w:sz w:val="21"/>
                <w:szCs w:val="21"/>
                <w:highlight w:val="none"/>
                <w:lang w:eastAsia="zh-CN" w:bidi="ar"/>
              </w:rPr>
              <w:t>供应商</w:t>
            </w:r>
            <w:r>
              <w:rPr>
                <w:rFonts w:hint="eastAsia" w:ascii="宋体" w:hAnsi="宋体" w:eastAsia="宋体" w:cs="宋体"/>
                <w:color w:val="auto"/>
                <w:sz w:val="21"/>
                <w:szCs w:val="21"/>
                <w:highlight w:val="none"/>
                <w:lang w:bidi="ar"/>
              </w:rPr>
              <w:t>具有</w:t>
            </w:r>
            <w:r>
              <w:rPr>
                <w:rFonts w:hint="eastAsia" w:ascii="宋体" w:hAnsi="宋体" w:eastAsia="宋体" w:cs="宋体"/>
                <w:color w:val="auto"/>
                <w:sz w:val="21"/>
                <w:szCs w:val="21"/>
                <w:highlight w:val="none"/>
                <w:lang w:val="en-US" w:eastAsia="zh-CN" w:bidi="ar"/>
              </w:rPr>
              <w:t>①</w:t>
            </w:r>
            <w:r>
              <w:rPr>
                <w:rFonts w:hint="eastAsia" w:ascii="宋体" w:hAnsi="宋体" w:eastAsia="宋体" w:cs="宋体"/>
                <w:color w:val="auto"/>
                <w:sz w:val="21"/>
                <w:szCs w:val="21"/>
                <w:highlight w:val="none"/>
                <w:lang w:bidi="ar"/>
              </w:rPr>
              <w:t>档案扫描类、</w:t>
            </w:r>
            <w:r>
              <w:rPr>
                <w:rFonts w:hint="eastAsia" w:ascii="宋体" w:hAnsi="宋体" w:eastAsia="宋体" w:cs="宋体"/>
                <w:color w:val="auto"/>
                <w:sz w:val="21"/>
                <w:szCs w:val="21"/>
                <w:highlight w:val="none"/>
                <w:lang w:val="en-US" w:eastAsia="zh-CN" w:bidi="ar"/>
              </w:rPr>
              <w:t>②</w:t>
            </w:r>
            <w:r>
              <w:rPr>
                <w:rFonts w:hint="eastAsia" w:ascii="宋体" w:hAnsi="宋体" w:eastAsia="宋体" w:cs="宋体"/>
                <w:color w:val="auto"/>
                <w:sz w:val="21"/>
                <w:szCs w:val="21"/>
                <w:highlight w:val="none"/>
                <w:lang w:bidi="ar"/>
              </w:rPr>
              <w:t>数据接收类、</w:t>
            </w:r>
            <w:r>
              <w:rPr>
                <w:rFonts w:hint="eastAsia" w:ascii="宋体" w:hAnsi="宋体" w:eastAsia="宋体" w:cs="宋体"/>
                <w:color w:val="auto"/>
                <w:sz w:val="21"/>
                <w:szCs w:val="21"/>
                <w:highlight w:val="none"/>
                <w:lang w:val="en-US" w:eastAsia="zh-CN" w:bidi="ar"/>
              </w:rPr>
              <w:t>③</w:t>
            </w:r>
            <w:r>
              <w:rPr>
                <w:rFonts w:hint="eastAsia" w:ascii="宋体" w:hAnsi="宋体" w:eastAsia="宋体" w:cs="宋体"/>
                <w:color w:val="auto"/>
                <w:sz w:val="21"/>
                <w:szCs w:val="21"/>
                <w:highlight w:val="none"/>
                <w:lang w:bidi="ar"/>
              </w:rPr>
              <w:t>加工管理类、</w:t>
            </w:r>
            <w:r>
              <w:rPr>
                <w:rFonts w:hint="eastAsia" w:ascii="宋体" w:hAnsi="宋体" w:eastAsia="宋体" w:cs="宋体"/>
                <w:color w:val="auto"/>
                <w:sz w:val="21"/>
                <w:szCs w:val="21"/>
                <w:highlight w:val="none"/>
                <w:lang w:val="en-US" w:eastAsia="zh-CN" w:bidi="ar"/>
              </w:rPr>
              <w:t>④</w:t>
            </w:r>
            <w:r>
              <w:rPr>
                <w:rFonts w:hint="eastAsia" w:ascii="宋体" w:hAnsi="宋体" w:eastAsia="宋体" w:cs="宋体"/>
                <w:color w:val="auto"/>
                <w:sz w:val="21"/>
                <w:szCs w:val="21"/>
                <w:highlight w:val="none"/>
                <w:lang w:bidi="ar"/>
              </w:rPr>
              <w:t>批量识别类、</w:t>
            </w:r>
            <w:r>
              <w:rPr>
                <w:rFonts w:hint="eastAsia" w:ascii="宋体" w:hAnsi="宋体" w:eastAsia="宋体" w:cs="宋体"/>
                <w:color w:val="auto"/>
                <w:sz w:val="21"/>
                <w:szCs w:val="21"/>
                <w:highlight w:val="none"/>
                <w:lang w:val="en-US" w:eastAsia="zh-CN" w:bidi="ar"/>
              </w:rPr>
              <w:t>⑤</w:t>
            </w:r>
            <w:r>
              <w:rPr>
                <w:rFonts w:hint="eastAsia" w:ascii="宋体" w:hAnsi="宋体" w:eastAsia="宋体" w:cs="宋体"/>
                <w:color w:val="auto"/>
                <w:sz w:val="21"/>
                <w:szCs w:val="21"/>
                <w:highlight w:val="none"/>
                <w:lang w:bidi="ar"/>
              </w:rPr>
              <w:t>双机校对类、</w:t>
            </w:r>
            <w:r>
              <w:rPr>
                <w:rFonts w:hint="eastAsia" w:ascii="宋体" w:hAnsi="宋体" w:eastAsia="宋体" w:cs="宋体"/>
                <w:color w:val="auto"/>
                <w:sz w:val="21"/>
                <w:szCs w:val="21"/>
                <w:highlight w:val="none"/>
                <w:lang w:val="en-US" w:eastAsia="zh-CN" w:bidi="ar"/>
              </w:rPr>
              <w:t>⑥</w:t>
            </w:r>
            <w:r>
              <w:rPr>
                <w:rFonts w:hint="eastAsia" w:ascii="宋体" w:hAnsi="宋体" w:eastAsia="宋体" w:cs="宋体"/>
                <w:color w:val="auto"/>
                <w:sz w:val="21"/>
                <w:szCs w:val="21"/>
                <w:highlight w:val="none"/>
                <w:lang w:bidi="ar"/>
              </w:rPr>
              <w:t>加密存储类、</w:t>
            </w:r>
            <w:r>
              <w:rPr>
                <w:rFonts w:hint="eastAsia" w:ascii="宋体" w:hAnsi="宋体" w:eastAsia="宋体" w:cs="宋体"/>
                <w:color w:val="auto"/>
                <w:sz w:val="21"/>
                <w:szCs w:val="21"/>
                <w:highlight w:val="none"/>
                <w:lang w:val="en-US" w:eastAsia="zh-CN" w:bidi="ar"/>
              </w:rPr>
              <w:t>⑦</w:t>
            </w:r>
            <w:r>
              <w:rPr>
                <w:rFonts w:hint="eastAsia" w:ascii="宋体" w:hAnsi="宋体" w:eastAsia="宋体" w:cs="宋体"/>
                <w:color w:val="auto"/>
                <w:sz w:val="21"/>
                <w:szCs w:val="21"/>
                <w:highlight w:val="none"/>
                <w:lang w:bidi="ar"/>
              </w:rPr>
              <w:t>档案管理类</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软件著作权证书的，每提供一个</w:t>
            </w:r>
            <w:r>
              <w:rPr>
                <w:rFonts w:hint="eastAsia" w:ascii="宋体" w:hAnsi="宋体" w:eastAsia="宋体" w:cs="宋体"/>
                <w:color w:val="auto"/>
                <w:sz w:val="21"/>
                <w:szCs w:val="21"/>
                <w:highlight w:val="none"/>
                <w:lang w:val="en-US" w:eastAsia="zh-CN" w:bidi="ar"/>
              </w:rPr>
              <w:t>上述</w:t>
            </w:r>
            <w:r>
              <w:rPr>
                <w:rFonts w:hint="eastAsia" w:ascii="宋体" w:hAnsi="宋体" w:eastAsia="宋体" w:cs="宋体"/>
                <w:color w:val="auto"/>
                <w:sz w:val="21"/>
                <w:szCs w:val="21"/>
                <w:highlight w:val="none"/>
                <w:lang w:eastAsia="zh-CN" w:bidi="ar"/>
              </w:rPr>
              <w:t>对应</w:t>
            </w:r>
            <w:r>
              <w:rPr>
                <w:rFonts w:hint="eastAsia" w:ascii="宋体" w:hAnsi="宋体" w:eastAsia="宋体" w:cs="宋体"/>
                <w:color w:val="auto"/>
                <w:sz w:val="21"/>
                <w:szCs w:val="21"/>
                <w:highlight w:val="none"/>
                <w:lang w:bidi="ar"/>
              </w:rPr>
              <w:t>证书</w:t>
            </w:r>
            <w:r>
              <w:rPr>
                <w:rFonts w:hint="eastAsia" w:ascii="宋体" w:hAnsi="宋体" w:eastAsia="宋体" w:cs="宋体"/>
                <w:color w:val="auto"/>
                <w:sz w:val="21"/>
                <w:szCs w:val="21"/>
                <w:highlight w:val="none"/>
                <w:lang w:eastAsia="zh-CN" w:bidi="ar"/>
              </w:rPr>
              <w:t>的</w:t>
            </w:r>
            <w:r>
              <w:rPr>
                <w:rFonts w:hint="eastAsia" w:ascii="宋体" w:hAnsi="宋体" w:eastAsia="宋体" w:cs="宋体"/>
                <w:color w:val="auto"/>
                <w:sz w:val="21"/>
                <w:szCs w:val="21"/>
                <w:highlight w:val="none"/>
                <w:lang w:bidi="ar"/>
              </w:rPr>
              <w:t>得1分，</w:t>
            </w:r>
            <w:r>
              <w:rPr>
                <w:rFonts w:hint="eastAsia" w:ascii="宋体" w:hAnsi="宋体" w:eastAsia="宋体" w:cs="宋体"/>
                <w:color w:val="auto"/>
                <w:sz w:val="21"/>
                <w:szCs w:val="21"/>
                <w:highlight w:val="none"/>
                <w:lang w:val="en-US" w:eastAsia="zh-CN" w:bidi="ar"/>
              </w:rPr>
              <w:t>本项</w:t>
            </w:r>
            <w:r>
              <w:rPr>
                <w:rFonts w:hint="eastAsia" w:ascii="宋体" w:hAnsi="宋体" w:eastAsia="宋体" w:cs="宋体"/>
                <w:b w:val="0"/>
                <w:bCs/>
                <w:color w:val="auto"/>
                <w:sz w:val="21"/>
                <w:szCs w:val="21"/>
                <w:highlight w:val="none"/>
                <w:lang w:val="en-US" w:eastAsia="zh-CN"/>
              </w:rPr>
              <w:t>满分</w:t>
            </w:r>
            <w:r>
              <w:rPr>
                <w:rFonts w:hint="eastAsia" w:ascii="宋体" w:hAnsi="宋体" w:eastAsia="宋体" w:cs="宋体"/>
                <w:color w:val="auto"/>
                <w:sz w:val="21"/>
                <w:szCs w:val="21"/>
                <w:highlight w:val="none"/>
                <w:lang w:bidi="ar"/>
              </w:rPr>
              <w:t>7分</w:t>
            </w:r>
            <w:r>
              <w:rPr>
                <w:rFonts w:hint="eastAsia" w:ascii="宋体" w:hAnsi="宋体" w:eastAsia="宋体" w:cs="宋体"/>
                <w:b w:val="0"/>
                <w:bCs/>
                <w:color w:val="auto"/>
                <w:sz w:val="21"/>
                <w:szCs w:val="21"/>
                <w:highlight w:val="none"/>
                <w:lang w:val="en-US" w:eastAsia="zh-CN"/>
              </w:rPr>
              <w:t>。</w:t>
            </w:r>
          </w:p>
          <w:p w14:paraId="4C528FD7">
            <w:pPr>
              <w:keepNext w:val="0"/>
              <w:keepLines w:val="0"/>
              <w:pageBreakBefore w:val="0"/>
              <w:kinsoku/>
              <w:wordWrap/>
              <w:overflowPunct/>
              <w:topLinePunct w:val="0"/>
              <w:bidi w:val="0"/>
              <w:adjustRightInd/>
              <w:snapToGrid/>
              <w:spacing w:line="440" w:lineRule="exact"/>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注：</w:t>
            </w:r>
            <w:r>
              <w:rPr>
                <w:rFonts w:hint="eastAsia" w:ascii="宋体" w:hAnsi="宋体" w:eastAsia="宋体" w:cs="宋体"/>
                <w:b/>
                <w:bCs w:val="0"/>
                <w:color w:val="auto"/>
                <w:sz w:val="21"/>
                <w:szCs w:val="21"/>
                <w:highlight w:val="none"/>
                <w:lang w:val="en-US" w:eastAsia="zh-CN"/>
              </w:rPr>
              <w:t>提供上述相应证书复印件加盖单位公章，上述证书须在有效期内，且证书单位名称与供应商名称一致，本项不重复计分，否则不得分。</w:t>
            </w:r>
          </w:p>
        </w:tc>
        <w:tc>
          <w:tcPr>
            <w:tcW w:w="1065" w:type="dxa"/>
            <w:tcBorders>
              <w:top w:val="single" w:color="auto" w:sz="4" w:space="0"/>
              <w:left w:val="single" w:color="auto" w:sz="4" w:space="0"/>
              <w:right w:val="single" w:color="auto" w:sz="4" w:space="0"/>
            </w:tcBorders>
            <w:noWrap w:val="0"/>
            <w:vAlign w:val="center"/>
          </w:tcPr>
          <w:p w14:paraId="133EDA93">
            <w:pPr>
              <w:pStyle w:val="2"/>
              <w:keepNext w:val="0"/>
              <w:keepLines w:val="0"/>
              <w:pageBreakBefore w:val="0"/>
              <w:kinsoku/>
              <w:wordWrap/>
              <w:overflowPunct/>
              <w:topLinePunct w:val="0"/>
              <w:bidi w:val="0"/>
              <w:adjustRightInd/>
              <w:snapToGrid/>
              <w:spacing w:line="440" w:lineRule="exac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分</w:t>
            </w:r>
          </w:p>
        </w:tc>
      </w:tr>
      <w:tr w14:paraId="7EDBB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966" w:type="dxa"/>
            <w:vMerge w:val="continue"/>
            <w:tcBorders>
              <w:left w:val="single" w:color="auto" w:sz="4" w:space="0"/>
              <w:right w:val="single" w:color="auto" w:sz="4" w:space="0"/>
            </w:tcBorders>
            <w:noWrap w:val="0"/>
            <w:vAlign w:val="center"/>
          </w:tcPr>
          <w:p w14:paraId="1644ADBF">
            <w:pPr>
              <w:pStyle w:val="2"/>
              <w:keepNext w:val="0"/>
              <w:keepLines w:val="0"/>
              <w:pageBreakBefore w:val="0"/>
              <w:kinsoku/>
              <w:wordWrap/>
              <w:overflowPunct/>
              <w:topLinePunct w:val="0"/>
              <w:bidi w:val="0"/>
              <w:adjustRightInd/>
              <w:snapToGrid/>
              <w:spacing w:line="440" w:lineRule="exact"/>
              <w:ind w:firstLine="0" w:firstLineChars="0"/>
              <w:jc w:val="center"/>
              <w:rPr>
                <w:rFonts w:hint="eastAsia" w:ascii="宋体" w:hAnsi="宋体" w:eastAsia="宋体" w:cs="宋体"/>
                <w:color w:val="auto"/>
                <w:sz w:val="21"/>
                <w:szCs w:val="21"/>
                <w:highlight w:val="none"/>
              </w:rPr>
            </w:pPr>
          </w:p>
        </w:tc>
        <w:tc>
          <w:tcPr>
            <w:tcW w:w="1090" w:type="dxa"/>
            <w:tcBorders>
              <w:top w:val="single" w:color="auto" w:sz="4" w:space="0"/>
              <w:left w:val="single" w:color="auto" w:sz="4" w:space="0"/>
              <w:right w:val="single" w:color="auto" w:sz="4" w:space="0"/>
            </w:tcBorders>
            <w:noWrap w:val="0"/>
            <w:vAlign w:val="center"/>
          </w:tcPr>
          <w:p w14:paraId="5CA6CE4F">
            <w:pPr>
              <w:pStyle w:val="15"/>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服务人员配备</w:t>
            </w:r>
          </w:p>
        </w:tc>
        <w:tc>
          <w:tcPr>
            <w:tcW w:w="6657" w:type="dxa"/>
            <w:tcBorders>
              <w:top w:val="single" w:color="auto" w:sz="4" w:space="0"/>
              <w:left w:val="single" w:color="auto" w:sz="4" w:space="0"/>
              <w:bottom w:val="single" w:color="auto" w:sz="4" w:space="0"/>
              <w:right w:val="single" w:color="auto" w:sz="4" w:space="0"/>
            </w:tcBorders>
            <w:noWrap w:val="0"/>
            <w:vAlign w:val="center"/>
          </w:tcPr>
          <w:p w14:paraId="3968591B">
            <w:pPr>
              <w:pStyle w:val="28"/>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1、供应商拟派项目负责人具有中级及以上档案管理类相关专业职称的得2分；</w:t>
            </w:r>
          </w:p>
          <w:p w14:paraId="241558CD">
            <w:pPr>
              <w:pStyle w:val="28"/>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2、拟派项目组成员要求</w:t>
            </w:r>
          </w:p>
          <w:p w14:paraId="0FE3AEF2">
            <w:pPr>
              <w:pStyle w:val="28"/>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（1）拟派项目组成员具有保密局颁发的保密教育考核证书的，每提供一人得2分，最高得4分。</w:t>
            </w:r>
          </w:p>
          <w:p w14:paraId="72B7F598">
            <w:pPr>
              <w:pStyle w:val="28"/>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（2）拟派项目组成员具有国家信息安全水平证书的，每提供一个得1分，最高得2分。</w:t>
            </w:r>
          </w:p>
          <w:p w14:paraId="5CF07A23">
            <w:pPr>
              <w:pStyle w:val="28"/>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color w:val="auto"/>
                <w:kern w:val="2"/>
                <w:sz w:val="21"/>
                <w:szCs w:val="21"/>
                <w:highlight w:val="none"/>
                <w:lang w:val="en-US" w:eastAsia="zh-CN" w:bidi="ar-SA"/>
              </w:rPr>
              <w:t>（3）拟派项目组成员具有档案工作人员上岗资格证书的，提供一个得1分，最高2分。</w:t>
            </w:r>
          </w:p>
          <w:p w14:paraId="5956A36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注：同时提供下列证明材料：</w:t>
            </w:r>
          </w:p>
          <w:p w14:paraId="0151552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auto"/>
                <w:sz w:val="21"/>
                <w:szCs w:val="21"/>
                <w:highlight w:val="none"/>
                <w:lang w:eastAsia="zh-CN" w:bidi="ar"/>
              </w:rPr>
            </w:pPr>
            <w:r>
              <w:rPr>
                <w:rFonts w:hint="eastAsia" w:ascii="宋体" w:hAnsi="宋体" w:eastAsia="宋体" w:cs="宋体"/>
                <w:b/>
                <w:bCs/>
                <w:color w:val="auto"/>
                <w:sz w:val="21"/>
                <w:szCs w:val="21"/>
                <w:highlight w:val="none"/>
                <w:lang w:val="en-US" w:eastAsia="zh-CN"/>
              </w:rPr>
              <w:t>①</w:t>
            </w:r>
            <w:r>
              <w:rPr>
                <w:rFonts w:hint="eastAsia" w:ascii="宋体" w:hAnsi="宋体" w:eastAsia="宋体" w:cs="宋体"/>
                <w:b/>
                <w:bCs/>
                <w:color w:val="auto"/>
                <w:sz w:val="21"/>
                <w:szCs w:val="21"/>
                <w:highlight w:val="none"/>
                <w:lang w:bidi="ar"/>
              </w:rPr>
              <w:t>服务人员清单</w:t>
            </w:r>
            <w:r>
              <w:rPr>
                <w:rFonts w:hint="eastAsia" w:ascii="宋体" w:hAnsi="宋体" w:eastAsia="宋体" w:cs="宋体"/>
                <w:b/>
                <w:bCs/>
                <w:color w:val="auto"/>
                <w:sz w:val="21"/>
                <w:szCs w:val="21"/>
                <w:highlight w:val="none"/>
                <w:lang w:eastAsia="zh-CN" w:bidi="ar"/>
              </w:rPr>
              <w:t>（格式自拟）；</w:t>
            </w:r>
          </w:p>
          <w:p w14:paraId="1668CD4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auto"/>
                <w:sz w:val="21"/>
                <w:szCs w:val="21"/>
                <w:highlight w:val="none"/>
                <w:lang w:val="en-US" w:eastAsia="zh-CN" w:bidi="ar"/>
              </w:rPr>
            </w:pPr>
            <w:r>
              <w:rPr>
                <w:rFonts w:hint="eastAsia" w:ascii="宋体" w:hAnsi="宋体" w:eastAsia="宋体" w:cs="宋体"/>
                <w:b/>
                <w:bCs/>
                <w:color w:val="auto"/>
                <w:sz w:val="21"/>
                <w:szCs w:val="21"/>
                <w:highlight w:val="none"/>
                <w:lang w:val="en-US" w:eastAsia="zh-CN" w:bidi="ar"/>
              </w:rPr>
              <w:t>②</w:t>
            </w:r>
            <w:r>
              <w:rPr>
                <w:rFonts w:hint="eastAsia" w:ascii="宋体" w:hAnsi="宋体" w:eastAsia="宋体" w:cs="宋体"/>
                <w:b/>
                <w:bCs/>
                <w:color w:val="auto"/>
                <w:sz w:val="21"/>
                <w:szCs w:val="21"/>
                <w:highlight w:val="none"/>
                <w:lang w:eastAsia="zh-CN" w:bidi="ar"/>
              </w:rPr>
              <w:t>上述</w:t>
            </w:r>
            <w:r>
              <w:rPr>
                <w:rFonts w:hint="eastAsia" w:ascii="宋体" w:hAnsi="宋体" w:eastAsia="宋体" w:cs="宋体"/>
                <w:b/>
                <w:bCs/>
                <w:color w:val="auto"/>
                <w:sz w:val="21"/>
                <w:szCs w:val="21"/>
                <w:highlight w:val="none"/>
                <w:lang w:val="en-US" w:eastAsia="zh-CN" w:bidi="ar"/>
              </w:rPr>
              <w:t>对应证书复印件加盖单位公章；</w:t>
            </w:r>
          </w:p>
          <w:p w14:paraId="276E93D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val="0"/>
                <w:color w:val="auto"/>
                <w:sz w:val="21"/>
                <w:szCs w:val="21"/>
                <w:highlight w:val="none"/>
              </w:rPr>
            </w:pPr>
            <w:r>
              <w:rPr>
                <w:rFonts w:hint="eastAsia" w:ascii="宋体" w:hAnsi="宋体" w:eastAsia="宋体" w:cs="宋体"/>
                <w:b/>
                <w:bCs/>
                <w:color w:val="auto"/>
                <w:sz w:val="21"/>
                <w:szCs w:val="21"/>
                <w:highlight w:val="none"/>
                <w:lang w:val="en-US" w:eastAsia="zh-CN" w:bidi="ar"/>
              </w:rPr>
              <w:t>③养老保险证明复印件加盖单位公章；</w:t>
            </w:r>
            <w:r>
              <w:rPr>
                <w:rFonts w:hint="eastAsia" w:ascii="宋体" w:hAnsi="宋体" w:eastAsia="宋体" w:cs="宋体"/>
                <w:b w:val="0"/>
                <w:bCs w:val="0"/>
                <w:color w:val="auto"/>
                <w:sz w:val="21"/>
                <w:szCs w:val="21"/>
                <w:highlight w:val="none"/>
                <w:lang w:val="en-US" w:eastAsia="zh-CN" w:bidi="ar"/>
              </w:rPr>
              <w:t>【</w:t>
            </w:r>
            <w:r>
              <w:rPr>
                <w:rFonts w:hint="eastAsia" w:ascii="宋体" w:hAnsi="宋体" w:eastAsia="宋体" w:cs="宋体"/>
                <w:b w:val="0"/>
                <w:bCs w:val="0"/>
                <w:color w:val="auto"/>
                <w:sz w:val="21"/>
                <w:szCs w:val="21"/>
                <w:highlight w:val="none"/>
                <w:lang w:val="en-US" w:eastAsia="zh-CN"/>
              </w:rPr>
              <w:t>提供</w:t>
            </w:r>
            <w:r>
              <w:rPr>
                <w:rFonts w:hint="eastAsia" w:ascii="宋体" w:hAnsi="宋体" w:eastAsia="宋体" w:cs="宋体"/>
                <w:b w:val="0"/>
                <w:bCs w:val="0"/>
                <w:color w:val="auto"/>
                <w:sz w:val="21"/>
                <w:szCs w:val="21"/>
                <w:highlight w:val="none"/>
              </w:rPr>
              <w:t>社保部门出具的本单位为</w:t>
            </w:r>
            <w:r>
              <w:rPr>
                <w:rFonts w:hint="eastAsia" w:ascii="宋体" w:hAnsi="宋体" w:eastAsia="宋体" w:cs="宋体"/>
                <w:b w:val="0"/>
                <w:bCs w:val="0"/>
                <w:color w:val="auto"/>
                <w:sz w:val="21"/>
                <w:szCs w:val="21"/>
                <w:highlight w:val="none"/>
                <w:lang w:val="en-US" w:eastAsia="zh-CN"/>
              </w:rPr>
              <w:t>上述人员</w:t>
            </w:r>
            <w:r>
              <w:rPr>
                <w:rFonts w:hint="eastAsia" w:ascii="宋体" w:hAnsi="宋体" w:eastAsia="宋体" w:cs="宋体"/>
                <w:b w:val="0"/>
                <w:bCs w:val="0"/>
                <w:color w:val="auto"/>
                <w:sz w:val="21"/>
                <w:szCs w:val="21"/>
                <w:highlight w:val="none"/>
              </w:rPr>
              <w:t>缴纳的</w:t>
            </w:r>
            <w:r>
              <w:rPr>
                <w:rFonts w:hint="eastAsia" w:ascii="宋体" w:hAnsi="宋体" w:eastAsia="宋体" w:cs="宋体"/>
                <w:b w:val="0"/>
                <w:bCs w:val="0"/>
                <w:color w:val="auto"/>
                <w:sz w:val="21"/>
                <w:szCs w:val="21"/>
                <w:highlight w:val="none"/>
                <w:lang w:val="en-US" w:eastAsia="zh-CN"/>
              </w:rPr>
              <w:t>投标</w:t>
            </w:r>
            <w:r>
              <w:rPr>
                <w:rFonts w:hint="eastAsia" w:ascii="宋体" w:hAnsi="宋体" w:eastAsia="宋体" w:cs="宋体"/>
                <w:b w:val="0"/>
                <w:bCs w:val="0"/>
                <w:color w:val="auto"/>
                <w:sz w:val="21"/>
                <w:szCs w:val="21"/>
                <w:highlight w:val="none"/>
              </w:rPr>
              <w:t>截止时间前三个月内任意一个月的养老保险证明（含官网在线打印件，证明文件两个月内有效）</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或供应商提供已为上述人员缴纳养老保险证明的承诺书（格式自拟）。（同一人担任不同公司法定代表人的，该法定代表人参加本项目磋商时须提供本人在其他公司任法定代表人的营业执照及为其缴纳养老保险证明材料）</w:t>
            </w:r>
            <w:r>
              <w:rPr>
                <w:rFonts w:hint="eastAsia" w:ascii="宋体" w:hAnsi="宋体" w:eastAsia="宋体" w:cs="宋体"/>
                <w:b w:val="0"/>
                <w:bCs w:val="0"/>
                <w:color w:val="auto"/>
                <w:sz w:val="21"/>
                <w:szCs w:val="21"/>
                <w:highlight w:val="none"/>
                <w:lang w:val="en-US" w:eastAsia="zh-CN"/>
              </w:rPr>
              <w:t>。】</w:t>
            </w:r>
          </w:p>
        </w:tc>
        <w:tc>
          <w:tcPr>
            <w:tcW w:w="1065" w:type="dxa"/>
            <w:tcBorders>
              <w:top w:val="single" w:color="auto" w:sz="4" w:space="0"/>
              <w:left w:val="single" w:color="auto" w:sz="4" w:space="0"/>
              <w:right w:val="single" w:color="auto" w:sz="4" w:space="0"/>
            </w:tcBorders>
            <w:noWrap w:val="0"/>
            <w:vAlign w:val="center"/>
          </w:tcPr>
          <w:p w14:paraId="024DDEB0">
            <w:pPr>
              <w:pStyle w:val="2"/>
              <w:keepNext w:val="0"/>
              <w:keepLines w:val="0"/>
              <w:pageBreakBefore w:val="0"/>
              <w:kinsoku/>
              <w:wordWrap/>
              <w:overflowPunct/>
              <w:topLinePunct w:val="0"/>
              <w:bidi w:val="0"/>
              <w:adjustRightInd/>
              <w:snapToGrid/>
              <w:spacing w:line="440" w:lineRule="exac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r>
      <w:tr w14:paraId="5B698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66" w:type="dxa"/>
            <w:vMerge w:val="restart"/>
            <w:tcBorders>
              <w:left w:val="single" w:color="auto" w:sz="4" w:space="0"/>
              <w:right w:val="single" w:color="auto" w:sz="4" w:space="0"/>
            </w:tcBorders>
            <w:noWrap w:val="0"/>
            <w:vAlign w:val="center"/>
          </w:tcPr>
          <w:p w14:paraId="500C9CA1">
            <w:pPr>
              <w:pStyle w:val="2"/>
              <w:keepNext w:val="0"/>
              <w:keepLines w:val="0"/>
              <w:pageBreakBefore w:val="0"/>
              <w:kinsoku/>
              <w:wordWrap/>
              <w:overflowPunct/>
              <w:topLinePunct w:val="0"/>
              <w:bidi w:val="0"/>
              <w:adjustRightInd/>
              <w:snapToGrid/>
              <w:spacing w:line="44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技术分</w:t>
            </w:r>
          </w:p>
          <w:p w14:paraId="6826B47B">
            <w:pPr>
              <w:keepNext w:val="0"/>
              <w:keepLines w:val="0"/>
              <w:pageBreakBefore w:val="0"/>
              <w:kinsoku/>
              <w:wordWrap/>
              <w:overflowPunct/>
              <w:topLinePunct w:val="0"/>
              <w:bidi w:val="0"/>
              <w:adjustRightInd/>
              <w:snapToGrid/>
              <w:spacing w:line="44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35</w:t>
            </w:r>
            <w:r>
              <w:rPr>
                <w:rFonts w:hint="eastAsia" w:ascii="宋体" w:hAnsi="宋体" w:eastAsia="宋体" w:cs="宋体"/>
                <w:color w:val="auto"/>
                <w:sz w:val="21"/>
                <w:szCs w:val="21"/>
                <w:highlight w:val="none"/>
              </w:rPr>
              <w:t>分）</w:t>
            </w:r>
          </w:p>
        </w:tc>
        <w:tc>
          <w:tcPr>
            <w:tcW w:w="1090" w:type="dxa"/>
            <w:tcBorders>
              <w:top w:val="single" w:color="auto" w:sz="4" w:space="0"/>
              <w:left w:val="single" w:color="auto" w:sz="4" w:space="0"/>
              <w:right w:val="single" w:color="auto" w:sz="4" w:space="0"/>
            </w:tcBorders>
            <w:noWrap w:val="0"/>
            <w:vAlign w:val="center"/>
          </w:tcPr>
          <w:p w14:paraId="165B476F">
            <w:pPr>
              <w:pStyle w:val="15"/>
              <w:keepNext w:val="0"/>
              <w:keepLines w:val="0"/>
              <w:pageBreakBefore w:val="0"/>
              <w:kinsoku/>
              <w:wordWrap/>
              <w:overflowPunct/>
              <w:topLinePunct w:val="0"/>
              <w:bidi w:val="0"/>
              <w:adjustRightInd/>
              <w:snapToGrid/>
              <w:spacing w:after="0" w:line="440" w:lineRule="exact"/>
              <w:jc w:val="center"/>
              <w:rPr>
                <w:rFonts w:hint="eastAsia" w:ascii="宋体" w:hAnsi="宋体" w:eastAsia="宋体" w:cs="宋体"/>
                <w:color w:val="auto"/>
                <w:sz w:val="21"/>
                <w:szCs w:val="21"/>
                <w:highlight w:val="none"/>
              </w:rPr>
            </w:pPr>
            <w:r>
              <w:rPr>
                <w:rFonts w:hint="eastAsia" w:ascii="宋体" w:hAnsi="宋体" w:eastAsia="宋体" w:cs="宋体"/>
                <w:b w:val="0"/>
                <w:bCs/>
                <w:color w:val="auto"/>
                <w:kern w:val="2"/>
                <w:sz w:val="21"/>
                <w:szCs w:val="21"/>
                <w:highlight w:val="none"/>
                <w:lang w:val="en-US" w:eastAsia="zh-CN" w:bidi="ar-SA"/>
              </w:rPr>
              <w:t>服务方案</w:t>
            </w:r>
          </w:p>
        </w:tc>
        <w:tc>
          <w:tcPr>
            <w:tcW w:w="6657" w:type="dxa"/>
            <w:tcBorders>
              <w:top w:val="single" w:color="auto" w:sz="4" w:space="0"/>
              <w:left w:val="single" w:color="auto" w:sz="4" w:space="0"/>
              <w:bottom w:val="single" w:color="auto" w:sz="4" w:space="0"/>
              <w:right w:val="single" w:color="auto" w:sz="4" w:space="0"/>
            </w:tcBorders>
            <w:noWrap w:val="0"/>
            <w:vAlign w:val="center"/>
          </w:tcPr>
          <w:p w14:paraId="68D6DF7E">
            <w:pPr>
              <w:pStyle w:val="17"/>
              <w:keepNext w:val="0"/>
              <w:keepLines w:val="0"/>
              <w:pageBreakBefore w:val="0"/>
              <w:numPr>
                <w:ilvl w:val="0"/>
                <w:numId w:val="0"/>
              </w:numPr>
              <w:kinsoku/>
              <w:wordWrap/>
              <w:overflowPunct/>
              <w:topLinePunct w:val="0"/>
              <w:bidi w:val="0"/>
              <w:adjustRightInd/>
              <w:snapToGrid/>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针对本项目制订的服务方案，由评标委员会进行打分。要求具有明确的服务目标、流程。</w:t>
            </w:r>
          </w:p>
          <w:p w14:paraId="64A78A4E">
            <w:pPr>
              <w:pStyle w:val="17"/>
              <w:keepNext w:val="0"/>
              <w:keepLines w:val="0"/>
              <w:pageBreakBefore w:val="0"/>
              <w:numPr>
                <w:ilvl w:val="0"/>
                <w:numId w:val="0"/>
              </w:numPr>
              <w:kinsoku/>
              <w:wordWrap/>
              <w:overflowPunct/>
              <w:topLinePunct w:val="0"/>
              <w:bidi w:val="0"/>
              <w:adjustRightInd/>
              <w:snapToGrid/>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①</w:t>
            </w:r>
            <w:r>
              <w:rPr>
                <w:rFonts w:hint="eastAsia" w:ascii="宋体" w:hAnsi="宋体" w:eastAsia="宋体" w:cs="宋体"/>
                <w:color w:val="auto"/>
                <w:sz w:val="21"/>
                <w:szCs w:val="21"/>
                <w:highlight w:val="none"/>
              </w:rPr>
              <w:t>服务方案思路清晰完整，合理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充分满足项目方案的得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14:paraId="5AFAFF11">
            <w:pPr>
              <w:pStyle w:val="17"/>
              <w:keepNext w:val="0"/>
              <w:keepLines w:val="0"/>
              <w:pageBreakBefore w:val="0"/>
              <w:numPr>
                <w:ilvl w:val="0"/>
                <w:numId w:val="0"/>
              </w:numPr>
              <w:kinsoku/>
              <w:wordWrap/>
              <w:overflowPunct/>
              <w:topLinePunct w:val="0"/>
              <w:bidi w:val="0"/>
              <w:adjustRightInd/>
              <w:snapToGrid/>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②</w:t>
            </w:r>
            <w:r>
              <w:rPr>
                <w:rFonts w:hint="eastAsia" w:ascii="宋体" w:hAnsi="宋体" w:eastAsia="宋体" w:cs="宋体"/>
                <w:color w:val="auto"/>
                <w:sz w:val="21"/>
                <w:szCs w:val="21"/>
                <w:highlight w:val="none"/>
              </w:rPr>
              <w:t>服务方案思路较清晰完整，较合理、满足项目方案的得</w:t>
            </w:r>
            <w:r>
              <w:rPr>
                <w:rFonts w:hint="eastAsia"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4B0C0383">
            <w:pPr>
              <w:pStyle w:val="17"/>
              <w:keepNext w:val="0"/>
              <w:keepLines w:val="0"/>
              <w:pageBreakBefore w:val="0"/>
              <w:numPr>
                <w:ilvl w:val="0"/>
                <w:numId w:val="0"/>
              </w:numPr>
              <w:kinsoku/>
              <w:wordWrap/>
              <w:overflowPunct/>
              <w:topLinePunct w:val="0"/>
              <w:bidi w:val="0"/>
              <w:adjustRightInd/>
              <w:snapToGrid/>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③</w:t>
            </w:r>
            <w:r>
              <w:rPr>
                <w:rFonts w:hint="eastAsia" w:ascii="宋体" w:hAnsi="宋体" w:eastAsia="宋体" w:cs="宋体"/>
                <w:color w:val="auto"/>
                <w:sz w:val="21"/>
                <w:szCs w:val="21"/>
                <w:highlight w:val="none"/>
              </w:rPr>
              <w:t>服务方案思路</w:t>
            </w:r>
            <w:r>
              <w:rPr>
                <w:rFonts w:hint="eastAsia" w:ascii="宋体" w:hAnsi="宋体" w:eastAsia="宋体" w:cs="宋体"/>
                <w:color w:val="auto"/>
                <w:sz w:val="21"/>
                <w:szCs w:val="21"/>
                <w:highlight w:val="none"/>
                <w:lang w:eastAsia="zh-CN"/>
              </w:rPr>
              <w:t>简单、部分存在不足的</w:t>
            </w:r>
            <w:r>
              <w:rPr>
                <w:rFonts w:hint="eastAsia" w:ascii="宋体" w:hAnsi="宋体" w:eastAsia="宋体" w:cs="宋体"/>
                <w:color w:val="auto"/>
                <w:sz w:val="21"/>
                <w:szCs w:val="21"/>
                <w:highlight w:val="none"/>
              </w:rPr>
              <w:t>得</w:t>
            </w:r>
            <w:r>
              <w:rPr>
                <w:rFonts w:hint="eastAsia"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2DB0A1BC">
            <w:pPr>
              <w:pStyle w:val="17"/>
              <w:keepNext w:val="0"/>
              <w:keepLines w:val="0"/>
              <w:pageBreakBefore w:val="0"/>
              <w:numPr>
                <w:ilvl w:val="0"/>
                <w:numId w:val="0"/>
              </w:numPr>
              <w:kinsoku/>
              <w:wordWrap/>
              <w:overflowPunct/>
              <w:topLinePunct w:val="0"/>
              <w:bidi w:val="0"/>
              <w:adjustRightInd/>
              <w:snapToGrid/>
              <w:spacing w:line="440" w:lineRule="exact"/>
              <w:ind w:left="0" w:leftChars="0" w:firstLine="0" w:firstLineChars="0"/>
              <w:rPr>
                <w:rFonts w:hint="eastAsia" w:ascii="宋体" w:hAnsi="宋体" w:eastAsia="宋体" w:cs="宋体"/>
                <w:b/>
                <w:bCs/>
                <w:color w:val="auto"/>
                <w:sz w:val="21"/>
                <w:szCs w:val="21"/>
                <w:highlight w:val="none"/>
                <w:lang w:val="zh-CN"/>
              </w:rPr>
            </w:pPr>
            <w:r>
              <w:rPr>
                <w:rFonts w:hint="eastAsia" w:ascii="宋体" w:hAnsi="宋体" w:eastAsia="宋体" w:cs="宋体"/>
                <w:color w:val="auto"/>
                <w:sz w:val="21"/>
                <w:szCs w:val="21"/>
                <w:highlight w:val="none"/>
                <w:lang w:val="en-US" w:eastAsia="zh-CN"/>
              </w:rPr>
              <w:t>④</w:t>
            </w:r>
            <w:r>
              <w:rPr>
                <w:rFonts w:hint="eastAsia" w:ascii="宋体" w:hAnsi="宋体" w:eastAsia="宋体" w:cs="宋体"/>
                <w:color w:val="auto"/>
                <w:sz w:val="21"/>
                <w:szCs w:val="21"/>
                <w:highlight w:val="none"/>
              </w:rPr>
              <w:t>未提供</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不得分。</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8193966">
            <w:pPr>
              <w:pStyle w:val="2"/>
              <w:keepNext w:val="0"/>
              <w:keepLines w:val="0"/>
              <w:pageBreakBefore w:val="0"/>
              <w:kinsoku/>
              <w:wordWrap/>
              <w:overflowPunct/>
              <w:topLinePunct w:val="0"/>
              <w:bidi w:val="0"/>
              <w:adjustRightInd/>
              <w:snapToGrid/>
              <w:spacing w:line="44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r>
      <w:tr w14:paraId="42348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jc w:val="center"/>
        </w:trPr>
        <w:tc>
          <w:tcPr>
            <w:tcW w:w="966" w:type="dxa"/>
            <w:vMerge w:val="continue"/>
            <w:tcBorders>
              <w:left w:val="single" w:color="auto" w:sz="4" w:space="0"/>
              <w:right w:val="single" w:color="auto" w:sz="4" w:space="0"/>
            </w:tcBorders>
            <w:noWrap w:val="0"/>
            <w:vAlign w:val="center"/>
          </w:tcPr>
          <w:p w14:paraId="0C7806C5">
            <w:pPr>
              <w:keepNext w:val="0"/>
              <w:keepLines w:val="0"/>
              <w:pageBreakBefore w:val="0"/>
              <w:kinsoku/>
              <w:wordWrap/>
              <w:overflowPunct/>
              <w:topLinePunct w:val="0"/>
              <w:bidi w:val="0"/>
              <w:adjustRightInd/>
              <w:snapToGrid/>
              <w:spacing w:line="440" w:lineRule="exact"/>
              <w:ind w:firstLine="0" w:firstLineChars="0"/>
              <w:jc w:val="center"/>
              <w:rPr>
                <w:rFonts w:hint="eastAsia" w:ascii="宋体" w:hAnsi="宋体" w:eastAsia="宋体" w:cs="宋体"/>
                <w:color w:val="auto"/>
                <w:sz w:val="21"/>
                <w:szCs w:val="21"/>
                <w:highlight w:val="none"/>
              </w:rPr>
            </w:pPr>
          </w:p>
        </w:tc>
        <w:tc>
          <w:tcPr>
            <w:tcW w:w="1090" w:type="dxa"/>
            <w:tcBorders>
              <w:left w:val="single" w:color="auto" w:sz="4" w:space="0"/>
              <w:bottom w:val="single" w:color="auto" w:sz="4" w:space="0"/>
              <w:right w:val="single" w:color="auto" w:sz="4" w:space="0"/>
            </w:tcBorders>
            <w:noWrap w:val="0"/>
            <w:vAlign w:val="center"/>
          </w:tcPr>
          <w:p w14:paraId="60785D07">
            <w:pPr>
              <w:pStyle w:val="17"/>
              <w:keepNext w:val="0"/>
              <w:keepLines w:val="0"/>
              <w:pageBreakBefore w:val="0"/>
              <w:kinsoku/>
              <w:wordWrap/>
              <w:overflowPunct/>
              <w:topLinePunct w:val="0"/>
              <w:bidi w:val="0"/>
              <w:adjustRightInd/>
              <w:snapToGrid/>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拟投入软硬件设备</w:t>
            </w:r>
            <w:r>
              <w:rPr>
                <w:rFonts w:hint="eastAsia" w:ascii="宋体" w:hAnsi="宋体" w:eastAsia="宋体" w:cs="宋体"/>
                <w:b w:val="0"/>
                <w:bCs/>
                <w:color w:val="auto"/>
                <w:kern w:val="2"/>
                <w:sz w:val="21"/>
                <w:szCs w:val="21"/>
                <w:highlight w:val="none"/>
                <w:lang w:val="en-US" w:eastAsia="zh-CN" w:bidi="ar-SA"/>
              </w:rPr>
              <w:t xml:space="preserve"> </w:t>
            </w:r>
          </w:p>
        </w:tc>
        <w:tc>
          <w:tcPr>
            <w:tcW w:w="6657" w:type="dxa"/>
            <w:tcBorders>
              <w:top w:val="single" w:color="auto" w:sz="4" w:space="0"/>
              <w:left w:val="single" w:color="auto" w:sz="4" w:space="0"/>
              <w:bottom w:val="single" w:color="auto" w:sz="4" w:space="0"/>
              <w:right w:val="single" w:color="auto" w:sz="4" w:space="0"/>
            </w:tcBorders>
            <w:noWrap w:val="0"/>
            <w:vAlign w:val="center"/>
          </w:tcPr>
          <w:p w14:paraId="0821697D">
            <w:pPr>
              <w:pStyle w:val="17"/>
              <w:keepNext w:val="0"/>
              <w:keepLines w:val="0"/>
              <w:pageBreakBefore w:val="0"/>
              <w:numPr>
                <w:ilvl w:val="0"/>
                <w:numId w:val="0"/>
              </w:numPr>
              <w:kinsoku/>
              <w:wordWrap/>
              <w:overflowPunct/>
              <w:topLinePunct w:val="0"/>
              <w:bidi w:val="0"/>
              <w:adjustRightInd/>
              <w:snapToGrid/>
              <w:spacing w:line="44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根据供应商针对本项目制订的软硬件设备配备，由评标委员会进行打分。</w:t>
            </w:r>
          </w:p>
          <w:p w14:paraId="3006BA88">
            <w:pPr>
              <w:pStyle w:val="17"/>
              <w:keepNext w:val="0"/>
              <w:keepLines w:val="0"/>
              <w:pageBreakBefore w:val="0"/>
              <w:numPr>
                <w:ilvl w:val="0"/>
                <w:numId w:val="0"/>
              </w:numPr>
              <w:kinsoku/>
              <w:wordWrap/>
              <w:overflowPunct/>
              <w:topLinePunct w:val="0"/>
              <w:bidi w:val="0"/>
              <w:adjustRightInd/>
              <w:snapToGrid/>
              <w:spacing w:line="440" w:lineRule="exact"/>
              <w:ind w:leftChars="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①</w:t>
            </w:r>
            <w:r>
              <w:rPr>
                <w:rFonts w:hint="eastAsia" w:ascii="宋体" w:hAnsi="宋体" w:eastAsia="宋体" w:cs="宋体"/>
                <w:color w:val="auto"/>
                <w:kern w:val="0"/>
                <w:sz w:val="21"/>
                <w:szCs w:val="21"/>
                <w:highlight w:val="none"/>
              </w:rPr>
              <w:t>软硬件设备配备种类、数量等优于本项目采购需求，完整详细，可行性、实用性、针对性强</w:t>
            </w:r>
            <w:r>
              <w:rPr>
                <w:rFonts w:hint="eastAsia" w:ascii="宋体" w:hAnsi="宋体" w:eastAsia="宋体" w:cs="宋体"/>
                <w:color w:val="auto"/>
                <w:kern w:val="0"/>
                <w:sz w:val="21"/>
                <w:szCs w:val="21"/>
                <w:highlight w:val="none"/>
                <w:lang w:eastAsia="zh-CN"/>
              </w:rPr>
              <w:t>的</w:t>
            </w:r>
            <w:r>
              <w:rPr>
                <w:rFonts w:hint="eastAsia" w:ascii="宋体" w:hAnsi="宋体" w:eastAsia="宋体" w:cs="宋体"/>
                <w:color w:val="auto"/>
                <w:kern w:val="0"/>
                <w:sz w:val="21"/>
                <w:szCs w:val="21"/>
                <w:highlight w:val="none"/>
              </w:rPr>
              <w:t>得5分；</w:t>
            </w:r>
          </w:p>
          <w:p w14:paraId="686037C5">
            <w:pPr>
              <w:pStyle w:val="17"/>
              <w:keepNext w:val="0"/>
              <w:keepLines w:val="0"/>
              <w:pageBreakBefore w:val="0"/>
              <w:numPr>
                <w:ilvl w:val="0"/>
                <w:numId w:val="0"/>
              </w:numPr>
              <w:kinsoku/>
              <w:wordWrap/>
              <w:overflowPunct/>
              <w:topLinePunct w:val="0"/>
              <w:bidi w:val="0"/>
              <w:adjustRightInd/>
              <w:snapToGrid/>
              <w:spacing w:line="440" w:lineRule="exact"/>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②</w:t>
            </w:r>
            <w:r>
              <w:rPr>
                <w:rFonts w:hint="eastAsia" w:ascii="宋体" w:hAnsi="宋体" w:eastAsia="宋体" w:cs="宋体"/>
                <w:color w:val="auto"/>
                <w:kern w:val="0"/>
                <w:sz w:val="21"/>
                <w:szCs w:val="21"/>
                <w:highlight w:val="none"/>
              </w:rPr>
              <w:t>软硬件设备配备种类、数量等适合本项目采购需求，完整详细，具有可行性、实用性、针对性</w:t>
            </w:r>
            <w:r>
              <w:rPr>
                <w:rFonts w:hint="eastAsia" w:ascii="宋体" w:hAnsi="宋体" w:eastAsia="宋体" w:cs="宋体"/>
                <w:color w:val="auto"/>
                <w:kern w:val="0"/>
                <w:sz w:val="21"/>
                <w:szCs w:val="21"/>
                <w:highlight w:val="none"/>
                <w:lang w:eastAsia="zh-CN"/>
              </w:rPr>
              <w:t>的</w:t>
            </w:r>
            <w:r>
              <w:rPr>
                <w:rFonts w:hint="eastAsia" w:ascii="宋体" w:hAnsi="宋体" w:eastAsia="宋体" w:cs="宋体"/>
                <w:color w:val="auto"/>
                <w:kern w:val="0"/>
                <w:sz w:val="21"/>
                <w:szCs w:val="21"/>
                <w:highlight w:val="none"/>
              </w:rPr>
              <w:t>得</w:t>
            </w:r>
            <w:r>
              <w:rPr>
                <w:rFonts w:hint="eastAsia"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分；</w:t>
            </w:r>
          </w:p>
          <w:p w14:paraId="4D202221">
            <w:pPr>
              <w:pStyle w:val="17"/>
              <w:keepNext w:val="0"/>
              <w:keepLines w:val="0"/>
              <w:pageBreakBefore w:val="0"/>
              <w:numPr>
                <w:ilvl w:val="0"/>
                <w:numId w:val="0"/>
              </w:numPr>
              <w:kinsoku/>
              <w:wordWrap/>
              <w:overflowPunct/>
              <w:topLinePunct w:val="0"/>
              <w:bidi w:val="0"/>
              <w:adjustRightInd/>
              <w:snapToGrid/>
              <w:spacing w:line="440" w:lineRule="exact"/>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③</w:t>
            </w:r>
            <w:r>
              <w:rPr>
                <w:rFonts w:hint="eastAsia" w:ascii="宋体" w:hAnsi="宋体" w:eastAsia="宋体" w:cs="宋体"/>
                <w:color w:val="auto"/>
                <w:kern w:val="0"/>
                <w:sz w:val="21"/>
                <w:szCs w:val="21"/>
                <w:highlight w:val="none"/>
              </w:rPr>
              <w:t>软硬件设备配备种类、数量等基本适合本项目采购需求，可行性、实用性、针对性有待改善</w:t>
            </w:r>
            <w:r>
              <w:rPr>
                <w:rFonts w:hint="eastAsia" w:ascii="宋体" w:hAnsi="宋体" w:eastAsia="宋体" w:cs="宋体"/>
                <w:color w:val="auto"/>
                <w:kern w:val="0"/>
                <w:sz w:val="21"/>
                <w:szCs w:val="21"/>
                <w:highlight w:val="none"/>
                <w:lang w:eastAsia="zh-CN"/>
              </w:rPr>
              <w:t>的</w:t>
            </w:r>
            <w:r>
              <w:rPr>
                <w:rFonts w:hint="eastAsia" w:ascii="宋体" w:hAnsi="宋体" w:eastAsia="宋体" w:cs="宋体"/>
                <w:color w:val="auto"/>
                <w:kern w:val="0"/>
                <w:sz w:val="21"/>
                <w:szCs w:val="21"/>
                <w:highlight w:val="none"/>
              </w:rPr>
              <w:t>得</w:t>
            </w:r>
            <w:r>
              <w:rPr>
                <w:rFonts w:hint="eastAsia"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分；</w:t>
            </w:r>
          </w:p>
          <w:p w14:paraId="59E3299F">
            <w:pPr>
              <w:pStyle w:val="17"/>
              <w:keepNext w:val="0"/>
              <w:keepLines w:val="0"/>
              <w:pageBreakBefore w:val="0"/>
              <w:numPr>
                <w:ilvl w:val="0"/>
                <w:numId w:val="0"/>
              </w:numPr>
              <w:kinsoku/>
              <w:wordWrap/>
              <w:overflowPunct/>
              <w:topLinePunct w:val="0"/>
              <w:bidi w:val="0"/>
              <w:adjustRightInd/>
              <w:snapToGrid/>
              <w:spacing w:line="440" w:lineRule="exact"/>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④</w:t>
            </w:r>
            <w:r>
              <w:rPr>
                <w:rFonts w:hint="eastAsia" w:ascii="宋体" w:hAnsi="宋体" w:eastAsia="宋体" w:cs="宋体"/>
                <w:color w:val="auto"/>
                <w:sz w:val="21"/>
                <w:szCs w:val="21"/>
                <w:highlight w:val="none"/>
              </w:rPr>
              <w:t>未提供</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不得分。</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34C88569">
            <w:pPr>
              <w:pStyle w:val="2"/>
              <w:keepNext w:val="0"/>
              <w:keepLines w:val="0"/>
              <w:pageBreakBefore w:val="0"/>
              <w:kinsoku/>
              <w:wordWrap/>
              <w:overflowPunct/>
              <w:topLinePunct w:val="0"/>
              <w:bidi w:val="0"/>
              <w:adjustRightInd/>
              <w:snapToGrid/>
              <w:spacing w:line="44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r>
      <w:tr w14:paraId="1C1DD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3" w:hRule="atLeast"/>
          <w:jc w:val="center"/>
        </w:trPr>
        <w:tc>
          <w:tcPr>
            <w:tcW w:w="966" w:type="dxa"/>
            <w:vMerge w:val="continue"/>
            <w:tcBorders>
              <w:left w:val="single" w:color="auto" w:sz="4" w:space="0"/>
              <w:right w:val="single" w:color="auto" w:sz="4" w:space="0"/>
            </w:tcBorders>
            <w:noWrap w:val="0"/>
            <w:vAlign w:val="center"/>
          </w:tcPr>
          <w:p w14:paraId="43E6D82A">
            <w:pPr>
              <w:keepNext w:val="0"/>
              <w:keepLines w:val="0"/>
              <w:pageBreakBefore w:val="0"/>
              <w:kinsoku/>
              <w:wordWrap/>
              <w:overflowPunct/>
              <w:topLinePunct w:val="0"/>
              <w:bidi w:val="0"/>
              <w:adjustRightInd/>
              <w:snapToGrid/>
              <w:spacing w:line="440" w:lineRule="exact"/>
              <w:ind w:firstLine="0" w:firstLineChars="0"/>
              <w:jc w:val="center"/>
              <w:rPr>
                <w:rFonts w:hint="eastAsia" w:ascii="宋体" w:hAnsi="宋体" w:eastAsia="宋体" w:cs="宋体"/>
                <w:color w:val="auto"/>
                <w:sz w:val="21"/>
                <w:szCs w:val="21"/>
                <w:highlight w:val="none"/>
              </w:rPr>
            </w:pPr>
          </w:p>
        </w:tc>
        <w:tc>
          <w:tcPr>
            <w:tcW w:w="1090" w:type="dxa"/>
            <w:tcBorders>
              <w:left w:val="single" w:color="auto" w:sz="4" w:space="0"/>
              <w:bottom w:val="single" w:color="auto" w:sz="4" w:space="0"/>
              <w:right w:val="single" w:color="auto" w:sz="4" w:space="0"/>
            </w:tcBorders>
            <w:noWrap w:val="0"/>
            <w:vAlign w:val="center"/>
          </w:tcPr>
          <w:p w14:paraId="4A7B5BFD">
            <w:pPr>
              <w:pStyle w:val="17"/>
              <w:keepNext w:val="0"/>
              <w:keepLines w:val="0"/>
              <w:pageBreakBefore w:val="0"/>
              <w:kinsoku/>
              <w:wordWrap/>
              <w:overflowPunct/>
              <w:topLinePunct w:val="0"/>
              <w:bidi w:val="0"/>
              <w:adjustRightInd/>
              <w:snapToGrid/>
              <w:spacing w:line="440" w:lineRule="exact"/>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color w:val="auto"/>
                <w:spacing w:val="-6"/>
                <w:sz w:val="21"/>
                <w:szCs w:val="21"/>
                <w:highlight w:val="none"/>
              </w:rPr>
              <w:t>实施方</w:t>
            </w:r>
            <w:r>
              <w:rPr>
                <w:rFonts w:hint="eastAsia" w:ascii="宋体" w:hAnsi="宋体" w:eastAsia="宋体" w:cs="宋体"/>
                <w:color w:val="auto"/>
                <w:sz w:val="21"/>
                <w:szCs w:val="21"/>
                <w:highlight w:val="none"/>
              </w:rPr>
              <w:t>案</w:t>
            </w:r>
          </w:p>
        </w:tc>
        <w:tc>
          <w:tcPr>
            <w:tcW w:w="6657" w:type="dxa"/>
            <w:tcBorders>
              <w:top w:val="single" w:color="auto" w:sz="4" w:space="0"/>
              <w:left w:val="single" w:color="auto" w:sz="4" w:space="0"/>
              <w:bottom w:val="single" w:color="auto" w:sz="4" w:space="0"/>
              <w:right w:val="single" w:color="auto" w:sz="4" w:space="0"/>
            </w:tcBorders>
            <w:noWrap w:val="0"/>
            <w:vAlign w:val="center"/>
          </w:tcPr>
          <w:p w14:paraId="59FC4544">
            <w:pPr>
              <w:pStyle w:val="17"/>
              <w:keepNext w:val="0"/>
              <w:keepLines w:val="0"/>
              <w:pageBreakBefore w:val="0"/>
              <w:numPr>
                <w:ilvl w:val="0"/>
                <w:numId w:val="0"/>
              </w:numPr>
              <w:kinsoku/>
              <w:wordWrap/>
              <w:overflowPunct/>
              <w:topLinePunct w:val="0"/>
              <w:bidi w:val="0"/>
              <w:adjustRightInd/>
              <w:snapToGrid/>
              <w:spacing w:line="44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能够充分理解磋商文件中服务要求提供实施方案进行综合评比，包含但不限于：电子档案录入核验归档工作实施方案；归档扫描工作实施方案；档案调阅工作实施方案；基建、设备、声像档案整理扫描工作实施方案。</w:t>
            </w:r>
          </w:p>
          <w:p w14:paraId="50FF7D78">
            <w:pPr>
              <w:pStyle w:val="17"/>
              <w:keepNext w:val="0"/>
              <w:keepLines w:val="0"/>
              <w:pageBreakBefore w:val="0"/>
              <w:numPr>
                <w:ilvl w:val="0"/>
                <w:numId w:val="0"/>
              </w:numPr>
              <w:kinsoku/>
              <w:wordWrap/>
              <w:overflowPunct/>
              <w:topLinePunct w:val="0"/>
              <w:bidi w:val="0"/>
              <w:adjustRightInd/>
              <w:snapToGrid/>
              <w:spacing w:line="44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①方案编制思路清晰、准确、符合项目实际工作流程及要求、满足磋商文件要求的得 5 分；</w:t>
            </w:r>
          </w:p>
          <w:p w14:paraId="432F0CB0">
            <w:pPr>
              <w:pStyle w:val="17"/>
              <w:keepNext w:val="0"/>
              <w:keepLines w:val="0"/>
              <w:pageBreakBefore w:val="0"/>
              <w:numPr>
                <w:ilvl w:val="0"/>
                <w:numId w:val="0"/>
              </w:numPr>
              <w:kinsoku/>
              <w:wordWrap/>
              <w:overflowPunct/>
              <w:topLinePunct w:val="0"/>
              <w:bidi w:val="0"/>
              <w:adjustRightInd/>
              <w:snapToGrid/>
              <w:spacing w:line="44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②方案编制思路基本清晰、准确基本符合项目实际工作流程及要求、满足磋商文件要求的得</w:t>
            </w:r>
            <w:r>
              <w:rPr>
                <w:rFonts w:hint="eastAsia"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p>
          <w:p w14:paraId="03862B2F">
            <w:pPr>
              <w:pStyle w:val="17"/>
              <w:keepNext w:val="0"/>
              <w:keepLines w:val="0"/>
              <w:pageBreakBefore w:val="0"/>
              <w:numPr>
                <w:ilvl w:val="0"/>
                <w:numId w:val="0"/>
              </w:numPr>
              <w:kinsoku/>
              <w:wordWrap/>
              <w:overflowPunct/>
              <w:topLinePunct w:val="0"/>
              <w:bidi w:val="0"/>
              <w:adjustRightInd/>
              <w:snapToGrid/>
              <w:spacing w:line="44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③方案编制思路不完全符合项目实际工作流程需要、方案内容需要完善的得</w:t>
            </w:r>
            <w:r>
              <w:rPr>
                <w:rFonts w:hint="eastAsia"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p>
          <w:p w14:paraId="449871A2">
            <w:pPr>
              <w:pStyle w:val="17"/>
              <w:keepNext w:val="0"/>
              <w:keepLines w:val="0"/>
              <w:pageBreakBefore w:val="0"/>
              <w:numPr>
                <w:ilvl w:val="0"/>
                <w:numId w:val="0"/>
              </w:numPr>
              <w:kinsoku/>
              <w:wordWrap/>
              <w:overflowPunct/>
              <w:topLinePunct w:val="0"/>
              <w:bidi w:val="0"/>
              <w:adjustRightInd/>
              <w:snapToGrid/>
              <w:spacing w:line="440" w:lineRule="exact"/>
              <w:ind w:left="0" w:leftChars="0"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w:t>
            </w:r>
            <w:r>
              <w:rPr>
                <w:rFonts w:hint="eastAsia" w:ascii="宋体" w:hAnsi="宋体" w:eastAsia="宋体" w:cs="宋体"/>
                <w:color w:val="auto"/>
                <w:sz w:val="21"/>
                <w:szCs w:val="21"/>
                <w:highlight w:val="none"/>
              </w:rPr>
              <w:t>未提供</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不得分</w:t>
            </w:r>
            <w:r>
              <w:rPr>
                <w:rFonts w:hint="eastAsia" w:ascii="宋体" w:hAnsi="宋体" w:eastAsia="宋体" w:cs="宋体"/>
                <w:color w:val="auto"/>
                <w:sz w:val="21"/>
                <w:szCs w:val="21"/>
                <w:highlight w:val="none"/>
                <w:lang w:val="en-US" w:eastAsia="zh-CN"/>
              </w:rPr>
              <w:t>。</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393D7F57">
            <w:pPr>
              <w:keepNext w:val="0"/>
              <w:keepLines w:val="0"/>
              <w:pageBreakBefore w:val="0"/>
              <w:kinsoku/>
              <w:wordWrap/>
              <w:overflowPunct/>
              <w:topLinePunct w:val="0"/>
              <w:autoSpaceDE w:val="0"/>
              <w:autoSpaceDN w:val="0"/>
              <w:bidi w:val="0"/>
              <w:adjustRightInd/>
              <w:snapToGrid/>
              <w:spacing w:line="440" w:lineRule="exac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r>
      <w:tr w14:paraId="6D3CE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6" w:type="dxa"/>
            <w:vMerge w:val="continue"/>
            <w:tcBorders>
              <w:left w:val="single" w:color="auto" w:sz="4" w:space="0"/>
              <w:right w:val="single" w:color="auto" w:sz="4" w:space="0"/>
            </w:tcBorders>
            <w:noWrap w:val="0"/>
            <w:vAlign w:val="center"/>
          </w:tcPr>
          <w:p w14:paraId="218D190E">
            <w:pPr>
              <w:keepNext w:val="0"/>
              <w:keepLines w:val="0"/>
              <w:pageBreakBefore w:val="0"/>
              <w:kinsoku/>
              <w:wordWrap/>
              <w:overflowPunct/>
              <w:topLinePunct w:val="0"/>
              <w:bidi w:val="0"/>
              <w:adjustRightInd/>
              <w:snapToGrid/>
              <w:spacing w:line="440" w:lineRule="exact"/>
              <w:ind w:firstLine="0" w:firstLineChars="0"/>
              <w:jc w:val="center"/>
              <w:rPr>
                <w:rFonts w:hint="eastAsia" w:ascii="宋体" w:hAnsi="宋体" w:eastAsia="宋体" w:cs="宋体"/>
                <w:color w:val="auto"/>
                <w:sz w:val="21"/>
                <w:szCs w:val="21"/>
                <w:highlight w:val="none"/>
              </w:rPr>
            </w:pPr>
          </w:p>
        </w:tc>
        <w:tc>
          <w:tcPr>
            <w:tcW w:w="1090" w:type="dxa"/>
            <w:tcBorders>
              <w:left w:val="single" w:color="auto" w:sz="4" w:space="0"/>
              <w:bottom w:val="single" w:color="auto" w:sz="4" w:space="0"/>
              <w:right w:val="single" w:color="auto" w:sz="4" w:space="0"/>
            </w:tcBorders>
            <w:noWrap w:val="0"/>
            <w:vAlign w:val="center"/>
          </w:tcPr>
          <w:p w14:paraId="2DD54B23">
            <w:pPr>
              <w:pStyle w:val="17"/>
              <w:keepNext w:val="0"/>
              <w:keepLines w:val="0"/>
              <w:pageBreakBefore w:val="0"/>
              <w:kinsoku/>
              <w:wordWrap/>
              <w:overflowPunct/>
              <w:topLinePunct w:val="0"/>
              <w:bidi w:val="0"/>
              <w:adjustRightInd/>
              <w:snapToGrid/>
              <w:spacing w:line="440" w:lineRule="exact"/>
              <w:jc w:val="center"/>
              <w:rPr>
                <w:rFonts w:hint="eastAsia" w:ascii="宋体" w:hAnsi="宋体" w:eastAsia="宋体" w:cs="宋体"/>
                <w:color w:val="auto"/>
                <w:spacing w:val="-6"/>
                <w:sz w:val="21"/>
                <w:szCs w:val="21"/>
                <w:highlight w:val="none"/>
                <w:lang w:eastAsia="zh-CN"/>
              </w:rPr>
            </w:pPr>
            <w:r>
              <w:rPr>
                <w:rFonts w:hint="eastAsia" w:ascii="宋体" w:hAnsi="宋体" w:eastAsia="宋体" w:cs="宋体"/>
                <w:color w:val="auto"/>
                <w:kern w:val="0"/>
                <w:sz w:val="21"/>
                <w:szCs w:val="21"/>
                <w:highlight w:val="none"/>
              </w:rPr>
              <w:t>质量保障</w:t>
            </w:r>
            <w:r>
              <w:rPr>
                <w:rFonts w:hint="eastAsia" w:ascii="宋体" w:hAnsi="宋体" w:eastAsia="宋体" w:cs="宋体"/>
                <w:color w:val="auto"/>
                <w:kern w:val="0"/>
                <w:sz w:val="21"/>
                <w:szCs w:val="21"/>
                <w:highlight w:val="none"/>
                <w:lang w:eastAsia="zh-CN"/>
              </w:rPr>
              <w:t>方案</w:t>
            </w:r>
          </w:p>
        </w:tc>
        <w:tc>
          <w:tcPr>
            <w:tcW w:w="6657" w:type="dxa"/>
            <w:tcBorders>
              <w:top w:val="single" w:color="auto" w:sz="4" w:space="0"/>
              <w:left w:val="single" w:color="auto" w:sz="4" w:space="0"/>
              <w:bottom w:val="single" w:color="auto" w:sz="4" w:space="0"/>
              <w:right w:val="single" w:color="auto" w:sz="4" w:space="0"/>
            </w:tcBorders>
            <w:noWrap w:val="0"/>
            <w:vAlign w:val="center"/>
          </w:tcPr>
          <w:p w14:paraId="39355858">
            <w:pPr>
              <w:pStyle w:val="17"/>
              <w:keepNext w:val="0"/>
              <w:keepLines w:val="0"/>
              <w:pageBreakBefore w:val="0"/>
              <w:numPr>
                <w:ilvl w:val="0"/>
                <w:numId w:val="0"/>
              </w:numPr>
              <w:kinsoku/>
              <w:wordWrap/>
              <w:overflowPunct/>
              <w:topLinePunct w:val="0"/>
              <w:bidi w:val="0"/>
              <w:adjustRightInd/>
              <w:snapToGrid/>
              <w:spacing w:line="440" w:lineRule="exact"/>
              <w:ind w:left="0" w:leftChars="0"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供应商能够充分理解磋商文件中服务要求提供</w:t>
            </w:r>
            <w:r>
              <w:rPr>
                <w:rFonts w:hint="eastAsia" w:ascii="宋体" w:hAnsi="宋体" w:eastAsia="宋体" w:cs="宋体"/>
                <w:color w:val="auto"/>
                <w:kern w:val="0"/>
                <w:sz w:val="21"/>
                <w:szCs w:val="21"/>
                <w:highlight w:val="none"/>
              </w:rPr>
              <w:t>质量保障</w:t>
            </w:r>
            <w:r>
              <w:rPr>
                <w:rFonts w:hint="eastAsia" w:ascii="宋体" w:hAnsi="宋体" w:eastAsia="宋体" w:cs="宋体"/>
                <w:color w:val="auto"/>
                <w:kern w:val="0"/>
                <w:sz w:val="21"/>
                <w:szCs w:val="21"/>
                <w:highlight w:val="none"/>
                <w:lang w:eastAsia="zh-CN"/>
              </w:rPr>
              <w:t>方案</w:t>
            </w:r>
            <w:r>
              <w:rPr>
                <w:rFonts w:hint="eastAsia" w:ascii="宋体" w:hAnsi="宋体" w:eastAsia="宋体" w:cs="宋体"/>
                <w:color w:val="auto"/>
                <w:sz w:val="21"/>
                <w:szCs w:val="21"/>
                <w:highlight w:val="none"/>
                <w:lang w:val="en-US" w:eastAsia="zh-CN"/>
              </w:rPr>
              <w:t>进行综合评比；</w:t>
            </w:r>
          </w:p>
          <w:p w14:paraId="7CDFBD5E">
            <w:pPr>
              <w:pStyle w:val="17"/>
              <w:keepNext w:val="0"/>
              <w:keepLines w:val="0"/>
              <w:pageBreakBefore w:val="0"/>
              <w:numPr>
                <w:ilvl w:val="0"/>
                <w:numId w:val="0"/>
              </w:numPr>
              <w:kinsoku/>
              <w:wordWrap/>
              <w:overflowPunct/>
              <w:topLinePunct w:val="0"/>
              <w:bidi w:val="0"/>
              <w:adjustRightInd/>
              <w:snapToGrid/>
              <w:spacing w:line="440" w:lineRule="exact"/>
              <w:ind w:left="0" w:leftChars="0"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w:t>
            </w:r>
            <w:r>
              <w:rPr>
                <w:rFonts w:hint="eastAsia" w:ascii="宋体" w:hAnsi="宋体" w:eastAsia="宋体" w:cs="宋体"/>
                <w:color w:val="auto"/>
                <w:kern w:val="0"/>
                <w:sz w:val="21"/>
                <w:szCs w:val="21"/>
                <w:highlight w:val="none"/>
              </w:rPr>
              <w:t>质量保障</w:t>
            </w:r>
            <w:r>
              <w:rPr>
                <w:rFonts w:hint="eastAsia" w:ascii="宋体" w:hAnsi="宋体" w:eastAsia="宋体" w:cs="宋体"/>
                <w:color w:val="auto"/>
                <w:sz w:val="21"/>
                <w:szCs w:val="21"/>
                <w:highlight w:val="none"/>
                <w:lang w:val="en-US" w:eastAsia="zh-CN"/>
              </w:rPr>
              <w:t>方案思路清晰、方案有条理，方案优于本项目采购需求，</w:t>
            </w:r>
            <w:r>
              <w:rPr>
                <w:rFonts w:hint="eastAsia" w:ascii="宋体" w:hAnsi="宋体" w:eastAsia="宋体" w:cs="宋体"/>
                <w:color w:val="auto"/>
                <w:kern w:val="0"/>
                <w:sz w:val="21"/>
                <w:szCs w:val="21"/>
                <w:highlight w:val="none"/>
              </w:rPr>
              <w:t>质量保障</w:t>
            </w:r>
            <w:r>
              <w:rPr>
                <w:rFonts w:hint="eastAsia" w:ascii="宋体" w:hAnsi="宋体" w:eastAsia="宋体" w:cs="宋体"/>
                <w:color w:val="auto"/>
                <w:sz w:val="21"/>
                <w:szCs w:val="21"/>
                <w:highlight w:val="none"/>
                <w:lang w:val="en-US" w:eastAsia="zh-CN"/>
              </w:rPr>
              <w:t>可执行性高的得 5 分；</w:t>
            </w:r>
          </w:p>
          <w:p w14:paraId="757491FE">
            <w:pPr>
              <w:pStyle w:val="17"/>
              <w:keepNext w:val="0"/>
              <w:keepLines w:val="0"/>
              <w:pageBreakBefore w:val="0"/>
              <w:numPr>
                <w:ilvl w:val="0"/>
                <w:numId w:val="0"/>
              </w:numPr>
              <w:kinsoku/>
              <w:wordWrap/>
              <w:overflowPunct/>
              <w:topLinePunct w:val="0"/>
              <w:bidi w:val="0"/>
              <w:adjustRightInd/>
              <w:snapToGrid/>
              <w:spacing w:line="440" w:lineRule="exact"/>
              <w:ind w:left="0" w:leftChars="0"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w:t>
            </w:r>
            <w:r>
              <w:rPr>
                <w:rFonts w:hint="eastAsia" w:ascii="宋体" w:hAnsi="宋体" w:eastAsia="宋体" w:cs="宋体"/>
                <w:color w:val="auto"/>
                <w:kern w:val="0"/>
                <w:sz w:val="21"/>
                <w:szCs w:val="21"/>
                <w:highlight w:val="none"/>
              </w:rPr>
              <w:t>质量保障</w:t>
            </w:r>
            <w:r>
              <w:rPr>
                <w:rFonts w:hint="eastAsia" w:ascii="宋体" w:hAnsi="宋体" w:eastAsia="宋体" w:cs="宋体"/>
                <w:color w:val="auto"/>
                <w:sz w:val="21"/>
                <w:szCs w:val="21"/>
                <w:highlight w:val="none"/>
                <w:lang w:val="en-US" w:eastAsia="zh-CN"/>
              </w:rPr>
              <w:t>方案基本适合本项目采购需求，可行性、实用性基本满足质量保障的得4分；</w:t>
            </w:r>
          </w:p>
          <w:p w14:paraId="71343DBC">
            <w:pPr>
              <w:pStyle w:val="17"/>
              <w:keepNext w:val="0"/>
              <w:keepLines w:val="0"/>
              <w:pageBreakBefore w:val="0"/>
              <w:numPr>
                <w:ilvl w:val="0"/>
                <w:numId w:val="0"/>
              </w:numPr>
              <w:kinsoku/>
              <w:wordWrap/>
              <w:overflowPunct/>
              <w:topLinePunct w:val="0"/>
              <w:bidi w:val="0"/>
              <w:adjustRightInd/>
              <w:snapToGrid/>
              <w:spacing w:line="440" w:lineRule="exact"/>
              <w:ind w:left="0" w:leftChars="0"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w:t>
            </w:r>
            <w:r>
              <w:rPr>
                <w:rFonts w:hint="eastAsia" w:ascii="宋体" w:hAnsi="宋体" w:eastAsia="宋体" w:cs="宋体"/>
                <w:color w:val="auto"/>
                <w:kern w:val="0"/>
                <w:sz w:val="21"/>
                <w:szCs w:val="21"/>
                <w:highlight w:val="none"/>
              </w:rPr>
              <w:t>质量保障</w:t>
            </w:r>
            <w:r>
              <w:rPr>
                <w:rFonts w:hint="eastAsia" w:ascii="宋体" w:hAnsi="宋体" w:eastAsia="宋体" w:cs="宋体"/>
                <w:color w:val="auto"/>
                <w:sz w:val="21"/>
                <w:szCs w:val="21"/>
                <w:highlight w:val="none"/>
                <w:lang w:val="en-US" w:eastAsia="zh-CN"/>
              </w:rPr>
              <w:t>案缺乏针对性、不能完全适用于本项目、</w:t>
            </w:r>
            <w:r>
              <w:rPr>
                <w:rFonts w:hint="eastAsia" w:ascii="宋体" w:hAnsi="宋体" w:eastAsia="宋体" w:cs="宋体"/>
                <w:color w:val="auto"/>
                <w:kern w:val="0"/>
                <w:sz w:val="21"/>
                <w:szCs w:val="21"/>
                <w:highlight w:val="none"/>
              </w:rPr>
              <w:t>质量保障</w:t>
            </w:r>
            <w:r>
              <w:rPr>
                <w:rFonts w:hint="eastAsia" w:ascii="宋体" w:hAnsi="宋体" w:eastAsia="宋体" w:cs="宋体"/>
                <w:color w:val="auto"/>
                <w:sz w:val="21"/>
                <w:szCs w:val="21"/>
                <w:highlight w:val="none"/>
                <w:lang w:val="en-US" w:eastAsia="zh-CN"/>
              </w:rPr>
              <w:t>需要修改完善的得 3 分；</w:t>
            </w:r>
          </w:p>
          <w:p w14:paraId="23950759">
            <w:pPr>
              <w:pStyle w:val="17"/>
              <w:keepNext w:val="0"/>
              <w:keepLines w:val="0"/>
              <w:pageBreakBefore w:val="0"/>
              <w:numPr>
                <w:ilvl w:val="0"/>
                <w:numId w:val="0"/>
              </w:numPr>
              <w:kinsoku/>
              <w:wordWrap/>
              <w:overflowPunct/>
              <w:topLinePunct w:val="0"/>
              <w:bidi w:val="0"/>
              <w:adjustRightInd/>
              <w:snapToGrid/>
              <w:spacing w:line="440" w:lineRule="exact"/>
              <w:ind w:left="0" w:leftChars="0"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w:t>
            </w:r>
            <w:r>
              <w:rPr>
                <w:rFonts w:hint="eastAsia" w:ascii="宋体" w:hAnsi="宋体" w:eastAsia="宋体" w:cs="宋体"/>
                <w:color w:val="auto"/>
                <w:sz w:val="21"/>
                <w:szCs w:val="21"/>
                <w:highlight w:val="none"/>
              </w:rPr>
              <w:t>未提供</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不得分</w:t>
            </w:r>
            <w:r>
              <w:rPr>
                <w:rFonts w:hint="eastAsia" w:ascii="宋体" w:hAnsi="宋体" w:eastAsia="宋体" w:cs="宋体"/>
                <w:color w:val="auto"/>
                <w:sz w:val="21"/>
                <w:szCs w:val="21"/>
                <w:highlight w:val="none"/>
                <w:lang w:val="en-US" w:eastAsia="zh-CN"/>
              </w:rPr>
              <w:t>。</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3DB385DF">
            <w:pPr>
              <w:keepNext w:val="0"/>
              <w:keepLines w:val="0"/>
              <w:pageBreakBefore w:val="0"/>
              <w:kinsoku/>
              <w:wordWrap/>
              <w:overflowPunct/>
              <w:topLinePunct w:val="0"/>
              <w:autoSpaceDE w:val="0"/>
              <w:autoSpaceDN w:val="0"/>
              <w:bidi w:val="0"/>
              <w:adjustRightInd/>
              <w:snapToGrid/>
              <w:spacing w:line="440" w:lineRule="exac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r>
      <w:tr w14:paraId="0141A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2" w:hRule="atLeast"/>
          <w:jc w:val="center"/>
        </w:trPr>
        <w:tc>
          <w:tcPr>
            <w:tcW w:w="966" w:type="dxa"/>
            <w:vMerge w:val="continue"/>
            <w:tcBorders>
              <w:left w:val="single" w:color="auto" w:sz="4" w:space="0"/>
              <w:right w:val="single" w:color="auto" w:sz="4" w:space="0"/>
            </w:tcBorders>
            <w:noWrap w:val="0"/>
            <w:vAlign w:val="center"/>
          </w:tcPr>
          <w:p w14:paraId="6E7C3E0B">
            <w:pPr>
              <w:keepNext w:val="0"/>
              <w:keepLines w:val="0"/>
              <w:pageBreakBefore w:val="0"/>
              <w:kinsoku/>
              <w:wordWrap/>
              <w:overflowPunct/>
              <w:topLinePunct w:val="0"/>
              <w:bidi w:val="0"/>
              <w:adjustRightInd/>
              <w:snapToGrid/>
              <w:spacing w:line="440" w:lineRule="exact"/>
              <w:ind w:firstLine="0" w:firstLineChars="0"/>
              <w:jc w:val="center"/>
              <w:rPr>
                <w:rFonts w:hint="eastAsia" w:ascii="宋体" w:hAnsi="宋体" w:eastAsia="宋体" w:cs="宋体"/>
                <w:color w:val="auto"/>
                <w:sz w:val="21"/>
                <w:szCs w:val="21"/>
                <w:highlight w:val="none"/>
              </w:rPr>
            </w:pPr>
          </w:p>
        </w:tc>
        <w:tc>
          <w:tcPr>
            <w:tcW w:w="1090" w:type="dxa"/>
            <w:tcBorders>
              <w:left w:val="single" w:color="auto" w:sz="4" w:space="0"/>
              <w:bottom w:val="single" w:color="auto" w:sz="4" w:space="0"/>
              <w:right w:val="single" w:color="auto" w:sz="4" w:space="0"/>
            </w:tcBorders>
            <w:noWrap w:val="0"/>
            <w:vAlign w:val="center"/>
          </w:tcPr>
          <w:p w14:paraId="7337E009">
            <w:pPr>
              <w:pStyle w:val="17"/>
              <w:keepNext w:val="0"/>
              <w:keepLines w:val="0"/>
              <w:pageBreakBefore w:val="0"/>
              <w:kinsoku/>
              <w:wordWrap/>
              <w:overflowPunct/>
              <w:topLinePunct w:val="0"/>
              <w:bidi w:val="0"/>
              <w:adjustRightInd/>
              <w:snapToGrid/>
              <w:spacing w:line="440" w:lineRule="exact"/>
              <w:jc w:val="center"/>
              <w:rPr>
                <w:rFonts w:hint="eastAsia" w:ascii="宋体" w:hAnsi="宋体" w:eastAsia="宋体" w:cs="宋体"/>
                <w:color w:val="auto"/>
                <w:spacing w:val="-6"/>
                <w:sz w:val="21"/>
                <w:szCs w:val="21"/>
                <w:highlight w:val="none"/>
              </w:rPr>
            </w:pPr>
            <w:r>
              <w:rPr>
                <w:rFonts w:hint="eastAsia" w:ascii="宋体" w:hAnsi="宋体" w:eastAsia="宋体" w:cs="宋体"/>
                <w:color w:val="auto"/>
                <w:spacing w:val="-4"/>
                <w:sz w:val="21"/>
                <w:szCs w:val="21"/>
                <w:highlight w:val="none"/>
              </w:rPr>
              <w:t>培训</w:t>
            </w:r>
            <w:r>
              <w:rPr>
                <w:rFonts w:hint="eastAsia" w:ascii="宋体" w:hAnsi="宋体" w:eastAsia="宋体" w:cs="宋体"/>
                <w:color w:val="auto"/>
                <w:spacing w:val="-4"/>
                <w:sz w:val="21"/>
                <w:szCs w:val="21"/>
                <w:highlight w:val="none"/>
                <w:lang w:eastAsia="zh-CN"/>
              </w:rPr>
              <w:t>方案</w:t>
            </w:r>
          </w:p>
        </w:tc>
        <w:tc>
          <w:tcPr>
            <w:tcW w:w="6657" w:type="dxa"/>
            <w:tcBorders>
              <w:top w:val="single" w:color="auto" w:sz="4" w:space="0"/>
              <w:left w:val="single" w:color="auto" w:sz="4" w:space="0"/>
              <w:bottom w:val="single" w:color="auto" w:sz="4" w:space="0"/>
              <w:right w:val="single" w:color="auto" w:sz="4" w:space="0"/>
            </w:tcBorders>
            <w:noWrap w:val="0"/>
            <w:vAlign w:val="center"/>
          </w:tcPr>
          <w:p w14:paraId="7723FF00">
            <w:pPr>
              <w:pStyle w:val="17"/>
              <w:keepNext w:val="0"/>
              <w:keepLines w:val="0"/>
              <w:pageBreakBefore w:val="0"/>
              <w:numPr>
                <w:ilvl w:val="0"/>
                <w:numId w:val="0"/>
              </w:numPr>
              <w:kinsoku/>
              <w:wordWrap/>
              <w:overflowPunct/>
              <w:topLinePunct w:val="0"/>
              <w:bidi w:val="0"/>
              <w:adjustRightInd/>
              <w:snapToGrid/>
              <w:spacing w:line="440" w:lineRule="exact"/>
              <w:ind w:left="0" w:leftChars="0"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供应商能够充分理解磋商文件中服务要求提供培训计划方案进行综合评比；</w:t>
            </w:r>
          </w:p>
          <w:p w14:paraId="4A245A3F">
            <w:pPr>
              <w:pStyle w:val="17"/>
              <w:keepNext w:val="0"/>
              <w:keepLines w:val="0"/>
              <w:pageBreakBefore w:val="0"/>
              <w:numPr>
                <w:ilvl w:val="0"/>
                <w:numId w:val="0"/>
              </w:numPr>
              <w:kinsoku/>
              <w:wordWrap/>
              <w:overflowPunct/>
              <w:topLinePunct w:val="0"/>
              <w:bidi w:val="0"/>
              <w:adjustRightInd/>
              <w:snapToGrid/>
              <w:spacing w:line="440" w:lineRule="exact"/>
              <w:ind w:left="0" w:leftChars="0"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①培训计划方案思路清晰、方案有条理，方案优于本项目采购需求，可执行性高的得 5 分；</w:t>
            </w:r>
          </w:p>
          <w:p w14:paraId="55997BDC">
            <w:pPr>
              <w:pStyle w:val="17"/>
              <w:keepNext w:val="0"/>
              <w:keepLines w:val="0"/>
              <w:pageBreakBefore w:val="0"/>
              <w:numPr>
                <w:ilvl w:val="0"/>
                <w:numId w:val="0"/>
              </w:numPr>
              <w:kinsoku/>
              <w:wordWrap/>
              <w:overflowPunct/>
              <w:topLinePunct w:val="0"/>
              <w:bidi w:val="0"/>
              <w:adjustRightInd/>
              <w:snapToGrid/>
              <w:spacing w:line="440" w:lineRule="exact"/>
              <w:ind w:left="0" w:leftChars="0"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②培训方案基本适合本项目采购需求，可行性、实用性基本满足的得 4 分；</w:t>
            </w:r>
          </w:p>
          <w:p w14:paraId="1E490CC9">
            <w:pPr>
              <w:pStyle w:val="17"/>
              <w:keepNext w:val="0"/>
              <w:keepLines w:val="0"/>
              <w:pageBreakBefore w:val="0"/>
              <w:numPr>
                <w:ilvl w:val="0"/>
                <w:numId w:val="0"/>
              </w:numPr>
              <w:kinsoku/>
              <w:wordWrap/>
              <w:overflowPunct/>
              <w:topLinePunct w:val="0"/>
              <w:bidi w:val="0"/>
              <w:adjustRightInd/>
              <w:snapToGrid/>
              <w:spacing w:line="440" w:lineRule="exact"/>
              <w:ind w:left="0" w:leftChars="0"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③培训方案缺乏针对性、不能完全适用于本项目、需要修改完善的得 3 分；</w:t>
            </w:r>
          </w:p>
          <w:p w14:paraId="201DF519">
            <w:pPr>
              <w:pStyle w:val="17"/>
              <w:keepNext w:val="0"/>
              <w:keepLines w:val="0"/>
              <w:pageBreakBefore w:val="0"/>
              <w:numPr>
                <w:ilvl w:val="0"/>
                <w:numId w:val="0"/>
              </w:numPr>
              <w:kinsoku/>
              <w:wordWrap/>
              <w:overflowPunct/>
              <w:topLinePunct w:val="0"/>
              <w:bidi w:val="0"/>
              <w:adjustRightInd/>
              <w:snapToGrid/>
              <w:spacing w:line="440" w:lineRule="exact"/>
              <w:ind w:left="0" w:leftChars="0"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w:t>
            </w:r>
            <w:r>
              <w:rPr>
                <w:rFonts w:hint="eastAsia" w:ascii="宋体" w:hAnsi="宋体" w:eastAsia="宋体" w:cs="宋体"/>
                <w:color w:val="auto"/>
                <w:sz w:val="21"/>
                <w:szCs w:val="21"/>
                <w:highlight w:val="none"/>
              </w:rPr>
              <w:t>未提供</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不得分</w:t>
            </w:r>
            <w:r>
              <w:rPr>
                <w:rFonts w:hint="eastAsia" w:ascii="宋体" w:hAnsi="宋体" w:eastAsia="宋体" w:cs="宋体"/>
                <w:color w:val="auto"/>
                <w:sz w:val="21"/>
                <w:szCs w:val="21"/>
                <w:highlight w:val="none"/>
                <w:lang w:val="en-US" w:eastAsia="zh-CN"/>
              </w:rPr>
              <w:t>。</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99F3951">
            <w:pPr>
              <w:keepNext w:val="0"/>
              <w:keepLines w:val="0"/>
              <w:pageBreakBefore w:val="0"/>
              <w:kinsoku/>
              <w:wordWrap/>
              <w:overflowPunct/>
              <w:topLinePunct w:val="0"/>
              <w:autoSpaceDE w:val="0"/>
              <w:autoSpaceDN w:val="0"/>
              <w:bidi w:val="0"/>
              <w:adjustRightInd/>
              <w:snapToGrid/>
              <w:spacing w:line="440" w:lineRule="exac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r>
      <w:tr w14:paraId="727C0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2" w:hRule="atLeast"/>
          <w:jc w:val="center"/>
        </w:trPr>
        <w:tc>
          <w:tcPr>
            <w:tcW w:w="966" w:type="dxa"/>
            <w:vMerge w:val="continue"/>
            <w:tcBorders>
              <w:left w:val="single" w:color="auto" w:sz="4" w:space="0"/>
              <w:right w:val="single" w:color="auto" w:sz="4" w:space="0"/>
            </w:tcBorders>
            <w:noWrap w:val="0"/>
            <w:vAlign w:val="center"/>
          </w:tcPr>
          <w:p w14:paraId="267BB9A3">
            <w:pPr>
              <w:keepNext w:val="0"/>
              <w:keepLines w:val="0"/>
              <w:pageBreakBefore w:val="0"/>
              <w:kinsoku/>
              <w:wordWrap/>
              <w:overflowPunct/>
              <w:topLinePunct w:val="0"/>
              <w:bidi w:val="0"/>
              <w:adjustRightInd/>
              <w:snapToGrid/>
              <w:spacing w:line="440" w:lineRule="exact"/>
              <w:ind w:firstLine="0" w:firstLineChars="0"/>
              <w:jc w:val="center"/>
              <w:rPr>
                <w:rFonts w:hint="eastAsia" w:ascii="宋体" w:hAnsi="宋体" w:eastAsia="宋体" w:cs="宋体"/>
                <w:color w:val="auto"/>
                <w:sz w:val="21"/>
                <w:szCs w:val="21"/>
                <w:highlight w:val="none"/>
              </w:rPr>
            </w:pPr>
          </w:p>
        </w:tc>
        <w:tc>
          <w:tcPr>
            <w:tcW w:w="1090" w:type="dxa"/>
            <w:tcBorders>
              <w:left w:val="single" w:color="auto" w:sz="4" w:space="0"/>
              <w:bottom w:val="single" w:color="auto" w:sz="4" w:space="0"/>
              <w:right w:val="single" w:color="auto" w:sz="4" w:space="0"/>
            </w:tcBorders>
            <w:noWrap w:val="0"/>
            <w:vAlign w:val="center"/>
          </w:tcPr>
          <w:p w14:paraId="7D1848A6">
            <w:pPr>
              <w:pStyle w:val="17"/>
              <w:keepNext w:val="0"/>
              <w:keepLines w:val="0"/>
              <w:pageBreakBefore w:val="0"/>
              <w:kinsoku/>
              <w:wordWrap/>
              <w:overflowPunct/>
              <w:topLinePunct w:val="0"/>
              <w:bidi w:val="0"/>
              <w:adjustRightInd/>
              <w:snapToGrid/>
              <w:spacing w:line="440" w:lineRule="exact"/>
              <w:jc w:val="center"/>
              <w:rPr>
                <w:rFonts w:hint="eastAsia" w:ascii="宋体" w:hAnsi="宋体" w:eastAsia="宋体" w:cs="宋体"/>
                <w:color w:val="auto"/>
                <w:spacing w:val="-4"/>
                <w:sz w:val="21"/>
                <w:szCs w:val="21"/>
                <w:highlight w:val="none"/>
              </w:rPr>
            </w:pPr>
            <w:r>
              <w:rPr>
                <w:rFonts w:hint="eastAsia" w:ascii="宋体" w:hAnsi="宋体" w:eastAsia="宋体" w:cs="宋体"/>
                <w:color w:val="auto"/>
                <w:kern w:val="0"/>
                <w:sz w:val="21"/>
                <w:szCs w:val="21"/>
                <w:highlight w:val="none"/>
              </w:rPr>
              <w:t>售后服务能力</w:t>
            </w:r>
          </w:p>
        </w:tc>
        <w:tc>
          <w:tcPr>
            <w:tcW w:w="6657" w:type="dxa"/>
            <w:tcBorders>
              <w:top w:val="single" w:color="auto" w:sz="4" w:space="0"/>
              <w:left w:val="single" w:color="auto" w:sz="4" w:space="0"/>
              <w:bottom w:val="single" w:color="auto" w:sz="4" w:space="0"/>
              <w:right w:val="single" w:color="auto" w:sz="4" w:space="0"/>
            </w:tcBorders>
            <w:noWrap w:val="0"/>
            <w:vAlign w:val="center"/>
          </w:tcPr>
          <w:p w14:paraId="66A9F6BD">
            <w:pPr>
              <w:pStyle w:val="17"/>
              <w:keepNext w:val="0"/>
              <w:keepLines w:val="0"/>
              <w:pageBreakBefore w:val="0"/>
              <w:numPr>
                <w:ilvl w:val="0"/>
                <w:numId w:val="0"/>
              </w:numPr>
              <w:kinsoku/>
              <w:wordWrap/>
              <w:overflowPunct/>
              <w:topLinePunct w:val="0"/>
              <w:bidi w:val="0"/>
              <w:adjustRightInd/>
              <w:snapToGrid/>
              <w:spacing w:line="44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根据供应商针对本项目提供</w:t>
            </w:r>
            <w:r>
              <w:rPr>
                <w:rFonts w:hint="eastAsia" w:ascii="宋体" w:hAnsi="宋体" w:eastAsia="宋体" w:cs="宋体"/>
                <w:color w:val="auto"/>
                <w:kern w:val="0"/>
                <w:sz w:val="21"/>
                <w:szCs w:val="21"/>
                <w:highlight w:val="none"/>
              </w:rPr>
              <w:t>售后服务能力</w:t>
            </w:r>
            <w:r>
              <w:rPr>
                <w:rFonts w:hint="eastAsia" w:ascii="宋体" w:hAnsi="宋体" w:eastAsia="宋体" w:cs="宋体"/>
                <w:color w:val="auto"/>
                <w:sz w:val="21"/>
                <w:szCs w:val="21"/>
                <w:highlight w:val="none"/>
                <w:lang w:val="en-US" w:eastAsia="zh-CN"/>
              </w:rPr>
              <w:t>，由评标委员会进行打分。</w:t>
            </w:r>
          </w:p>
          <w:p w14:paraId="49B870B4">
            <w:pPr>
              <w:pStyle w:val="17"/>
              <w:keepNext w:val="0"/>
              <w:keepLines w:val="0"/>
              <w:pageBreakBefore w:val="0"/>
              <w:numPr>
                <w:ilvl w:val="0"/>
                <w:numId w:val="0"/>
              </w:numPr>
              <w:kinsoku/>
              <w:wordWrap/>
              <w:overflowPunct/>
              <w:topLinePunct w:val="0"/>
              <w:bidi w:val="0"/>
              <w:adjustRightInd/>
              <w:snapToGrid/>
              <w:spacing w:line="440" w:lineRule="exact"/>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①</w:t>
            </w:r>
            <w:r>
              <w:rPr>
                <w:rFonts w:hint="eastAsia" w:ascii="宋体" w:hAnsi="宋体" w:eastAsia="宋体" w:cs="宋体"/>
                <w:color w:val="auto"/>
                <w:sz w:val="21"/>
                <w:szCs w:val="21"/>
                <w:highlight w:val="none"/>
              </w:rPr>
              <w:t>档案整理、流程、数字化加工等操作培训科学合理且可行性高、售后服务响应程度高、售后跟踪服务合理且可行性高</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得5分；</w:t>
            </w:r>
          </w:p>
          <w:p w14:paraId="77404A46">
            <w:pPr>
              <w:pStyle w:val="17"/>
              <w:keepNext w:val="0"/>
              <w:keepLines w:val="0"/>
              <w:pageBreakBefore w:val="0"/>
              <w:numPr>
                <w:ilvl w:val="0"/>
                <w:numId w:val="0"/>
              </w:numPr>
              <w:kinsoku/>
              <w:wordWrap/>
              <w:overflowPunct/>
              <w:topLinePunct w:val="0"/>
              <w:bidi w:val="0"/>
              <w:adjustRightInd/>
              <w:snapToGrid/>
              <w:spacing w:line="440" w:lineRule="exact"/>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②</w:t>
            </w:r>
            <w:r>
              <w:rPr>
                <w:rFonts w:hint="eastAsia" w:ascii="宋体" w:hAnsi="宋体" w:eastAsia="宋体" w:cs="宋体"/>
                <w:color w:val="auto"/>
                <w:sz w:val="21"/>
                <w:szCs w:val="21"/>
                <w:highlight w:val="none"/>
              </w:rPr>
              <w:t>档案整理、流程、数字化加工等操作培训基本合理且有一定可行性、售后服务响应程度一般、售后跟踪服务基本合理且有一定可行性</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得</w:t>
            </w:r>
            <w:r>
              <w:rPr>
                <w:rFonts w:hint="eastAsia"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39ADF487">
            <w:pPr>
              <w:pStyle w:val="17"/>
              <w:keepNext w:val="0"/>
              <w:keepLines w:val="0"/>
              <w:pageBreakBefore w:val="0"/>
              <w:numPr>
                <w:ilvl w:val="0"/>
                <w:numId w:val="0"/>
              </w:numPr>
              <w:kinsoku/>
              <w:wordWrap/>
              <w:overflowPunct/>
              <w:topLinePunct w:val="0"/>
              <w:bidi w:val="0"/>
              <w:adjustRightInd/>
              <w:snapToGrid/>
              <w:spacing w:line="440" w:lineRule="exact"/>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③</w:t>
            </w:r>
            <w:r>
              <w:rPr>
                <w:rFonts w:hint="eastAsia" w:ascii="宋体" w:hAnsi="宋体" w:eastAsia="宋体" w:cs="宋体"/>
                <w:color w:val="auto"/>
                <w:sz w:val="21"/>
                <w:szCs w:val="21"/>
                <w:highlight w:val="none"/>
              </w:rPr>
              <w:t>档案整理、流程、数字化加工等操作培训不合理且可行性低、售后服务响应程度低、售后跟踪服务不合理且可行性低</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得</w:t>
            </w:r>
            <w:r>
              <w:rPr>
                <w:rFonts w:hint="eastAsia"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2757CC85">
            <w:pPr>
              <w:pStyle w:val="17"/>
              <w:keepNext w:val="0"/>
              <w:keepLines w:val="0"/>
              <w:pageBreakBefore w:val="0"/>
              <w:numPr>
                <w:ilvl w:val="0"/>
                <w:numId w:val="0"/>
              </w:numPr>
              <w:kinsoku/>
              <w:wordWrap/>
              <w:overflowPunct/>
              <w:topLinePunct w:val="0"/>
              <w:bidi w:val="0"/>
              <w:adjustRightInd/>
              <w:snapToGrid/>
              <w:spacing w:line="440" w:lineRule="exact"/>
              <w:ind w:left="0" w:leftChars="0"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w:t>
            </w:r>
            <w:r>
              <w:rPr>
                <w:rFonts w:hint="eastAsia" w:ascii="宋体" w:hAnsi="宋体" w:eastAsia="宋体" w:cs="宋体"/>
                <w:color w:val="auto"/>
                <w:sz w:val="21"/>
                <w:szCs w:val="21"/>
                <w:highlight w:val="none"/>
              </w:rPr>
              <w:t>未提供</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不得分</w:t>
            </w:r>
            <w:r>
              <w:rPr>
                <w:rFonts w:hint="eastAsia" w:ascii="宋体" w:hAnsi="宋体" w:eastAsia="宋体" w:cs="宋体"/>
                <w:color w:val="auto"/>
                <w:sz w:val="21"/>
                <w:szCs w:val="21"/>
                <w:highlight w:val="none"/>
                <w:lang w:val="en-US" w:eastAsia="zh-CN"/>
              </w:rPr>
              <w:t>。</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352858AE">
            <w:pPr>
              <w:keepNext w:val="0"/>
              <w:keepLines w:val="0"/>
              <w:pageBreakBefore w:val="0"/>
              <w:kinsoku/>
              <w:wordWrap/>
              <w:overflowPunct/>
              <w:topLinePunct w:val="0"/>
              <w:autoSpaceDE w:val="0"/>
              <w:autoSpaceDN w:val="0"/>
              <w:bidi w:val="0"/>
              <w:adjustRightInd/>
              <w:snapToGrid/>
              <w:spacing w:line="440" w:lineRule="exac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r>
      <w:tr w14:paraId="4C449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966" w:type="dxa"/>
            <w:vMerge w:val="continue"/>
            <w:tcBorders>
              <w:left w:val="single" w:color="auto" w:sz="4" w:space="0"/>
              <w:right w:val="single" w:color="auto" w:sz="4" w:space="0"/>
            </w:tcBorders>
            <w:noWrap w:val="0"/>
            <w:vAlign w:val="center"/>
          </w:tcPr>
          <w:p w14:paraId="0DAFB38B">
            <w:pPr>
              <w:keepNext w:val="0"/>
              <w:keepLines w:val="0"/>
              <w:pageBreakBefore w:val="0"/>
              <w:kinsoku/>
              <w:wordWrap/>
              <w:overflowPunct/>
              <w:topLinePunct w:val="0"/>
              <w:bidi w:val="0"/>
              <w:adjustRightInd/>
              <w:snapToGrid/>
              <w:spacing w:line="440" w:lineRule="exact"/>
              <w:ind w:firstLine="0" w:firstLineChars="0"/>
              <w:jc w:val="center"/>
              <w:rPr>
                <w:rFonts w:hint="eastAsia" w:ascii="宋体" w:hAnsi="宋体" w:eastAsia="宋体" w:cs="宋体"/>
                <w:color w:val="auto"/>
                <w:sz w:val="21"/>
                <w:szCs w:val="21"/>
                <w:highlight w:val="none"/>
              </w:rPr>
            </w:pPr>
          </w:p>
        </w:tc>
        <w:tc>
          <w:tcPr>
            <w:tcW w:w="1090" w:type="dxa"/>
            <w:tcBorders>
              <w:left w:val="single" w:color="auto" w:sz="4" w:space="0"/>
              <w:right w:val="single" w:color="auto" w:sz="4" w:space="0"/>
            </w:tcBorders>
            <w:noWrap w:val="0"/>
            <w:vAlign w:val="center"/>
          </w:tcPr>
          <w:p w14:paraId="3BE1EFE8">
            <w:pPr>
              <w:pStyle w:val="17"/>
              <w:keepNext w:val="0"/>
              <w:keepLines w:val="0"/>
              <w:pageBreakBefore w:val="0"/>
              <w:kinsoku/>
              <w:wordWrap/>
              <w:overflowPunct/>
              <w:topLinePunct w:val="0"/>
              <w:bidi w:val="0"/>
              <w:adjustRightInd/>
              <w:snapToGrid/>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保密方</w:t>
            </w:r>
            <w:r>
              <w:rPr>
                <w:rFonts w:hint="eastAsia" w:ascii="宋体" w:hAnsi="宋体" w:eastAsia="宋体" w:cs="宋体"/>
                <w:color w:val="auto"/>
                <w:sz w:val="21"/>
                <w:szCs w:val="21"/>
                <w:highlight w:val="none"/>
              </w:rPr>
              <w:t>案</w:t>
            </w:r>
          </w:p>
        </w:tc>
        <w:tc>
          <w:tcPr>
            <w:tcW w:w="6657" w:type="dxa"/>
            <w:tcBorders>
              <w:top w:val="single" w:color="auto" w:sz="4" w:space="0"/>
              <w:left w:val="single" w:color="auto" w:sz="4" w:space="0"/>
              <w:right w:val="single" w:color="auto" w:sz="4" w:space="0"/>
            </w:tcBorders>
            <w:noWrap w:val="0"/>
            <w:vAlign w:val="center"/>
          </w:tcPr>
          <w:p w14:paraId="4C9A4C9F">
            <w:pPr>
              <w:pStyle w:val="17"/>
              <w:keepNext w:val="0"/>
              <w:keepLines w:val="0"/>
              <w:pageBreakBefore w:val="0"/>
              <w:numPr>
                <w:ilvl w:val="0"/>
                <w:numId w:val="0"/>
              </w:numPr>
              <w:kinsoku/>
              <w:wordWrap/>
              <w:overflowPunct/>
              <w:topLinePunct w:val="0"/>
              <w:bidi w:val="0"/>
              <w:adjustRightInd/>
              <w:snapToGrid/>
              <w:spacing w:line="44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根据供应商针对本项目</w:t>
            </w:r>
            <w:r>
              <w:rPr>
                <w:rFonts w:hint="eastAsia" w:ascii="宋体" w:hAnsi="宋体" w:eastAsia="宋体" w:cs="宋体"/>
                <w:color w:val="auto"/>
                <w:spacing w:val="-5"/>
                <w:sz w:val="21"/>
                <w:szCs w:val="21"/>
                <w:highlight w:val="none"/>
              </w:rPr>
              <w:t>保密方案</w:t>
            </w:r>
            <w:r>
              <w:rPr>
                <w:rFonts w:hint="eastAsia" w:ascii="宋体" w:hAnsi="宋体" w:eastAsia="宋体" w:cs="宋体"/>
                <w:color w:val="auto"/>
                <w:sz w:val="21"/>
                <w:szCs w:val="21"/>
                <w:highlight w:val="none"/>
                <w:lang w:val="en-US" w:eastAsia="zh-CN"/>
              </w:rPr>
              <w:t>，由评标委员会进行打分。</w:t>
            </w:r>
          </w:p>
          <w:p w14:paraId="2062ABE5">
            <w:pPr>
              <w:pStyle w:val="17"/>
              <w:keepNext w:val="0"/>
              <w:keepLines w:val="0"/>
              <w:pageBreakBefore w:val="0"/>
              <w:numPr>
                <w:ilvl w:val="0"/>
                <w:numId w:val="0"/>
              </w:numPr>
              <w:kinsoku/>
              <w:wordWrap/>
              <w:overflowPunct/>
              <w:topLinePunct w:val="0"/>
              <w:bidi w:val="0"/>
              <w:adjustRightInd/>
              <w:snapToGrid/>
              <w:spacing w:line="440" w:lineRule="exact"/>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①对本项目保密要求理解准确</w:t>
            </w:r>
            <w:r>
              <w:rPr>
                <w:rFonts w:hint="eastAsia" w:ascii="宋体" w:hAnsi="宋体" w:eastAsia="宋体" w:cs="宋体"/>
                <w:color w:val="auto"/>
                <w:spacing w:val="-5"/>
                <w:sz w:val="21"/>
                <w:szCs w:val="21"/>
                <w:highlight w:val="none"/>
                <w:lang w:eastAsia="zh-CN"/>
              </w:rPr>
              <w:t>，</w:t>
            </w:r>
            <w:r>
              <w:rPr>
                <w:rFonts w:hint="eastAsia" w:ascii="宋体" w:hAnsi="宋体" w:eastAsia="宋体" w:cs="宋体"/>
                <w:color w:val="auto"/>
                <w:spacing w:val="-5"/>
                <w:sz w:val="21"/>
                <w:szCs w:val="21"/>
                <w:highlight w:val="none"/>
              </w:rPr>
              <w:t>方案优于</w:t>
            </w:r>
            <w:r>
              <w:rPr>
                <w:rFonts w:hint="eastAsia" w:ascii="宋体" w:hAnsi="宋体" w:eastAsia="宋体" w:cs="宋体"/>
                <w:color w:val="auto"/>
                <w:sz w:val="21"/>
                <w:szCs w:val="21"/>
                <w:highlight w:val="none"/>
              </w:rPr>
              <w:t>；本项目采购需求，完整详细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可行性、实用性、针对性强的得5分；</w:t>
            </w:r>
          </w:p>
          <w:p w14:paraId="033189F4">
            <w:pPr>
              <w:pStyle w:val="17"/>
              <w:keepNext w:val="0"/>
              <w:keepLines w:val="0"/>
              <w:pageBreakBefore w:val="0"/>
              <w:numPr>
                <w:ilvl w:val="0"/>
                <w:numId w:val="0"/>
              </w:numPr>
              <w:kinsoku/>
              <w:wordWrap/>
              <w:overflowPunct/>
              <w:topLinePunct w:val="0"/>
              <w:bidi w:val="0"/>
              <w:adjustRightInd/>
              <w:snapToGrid/>
              <w:spacing w:line="440" w:lineRule="exact"/>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②对本项目</w:t>
            </w:r>
            <w:r>
              <w:rPr>
                <w:rFonts w:hint="eastAsia" w:ascii="宋体" w:hAnsi="宋体" w:eastAsia="宋体" w:cs="宋体"/>
                <w:color w:val="auto"/>
                <w:spacing w:val="-5"/>
                <w:sz w:val="21"/>
                <w:szCs w:val="21"/>
                <w:highlight w:val="none"/>
              </w:rPr>
              <w:t>保密</w:t>
            </w:r>
            <w:r>
              <w:rPr>
                <w:rFonts w:hint="eastAsia" w:ascii="宋体" w:hAnsi="宋体" w:eastAsia="宋体" w:cs="宋体"/>
                <w:color w:val="auto"/>
                <w:sz w:val="21"/>
                <w:szCs w:val="21"/>
                <w:highlight w:val="none"/>
              </w:rPr>
              <w:t>要求理解基本准确，方案基本适合本项目采购需求，完整详细，可行性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实用性、针对性较强的得4分；</w:t>
            </w:r>
          </w:p>
          <w:p w14:paraId="0F94F179">
            <w:pPr>
              <w:pStyle w:val="17"/>
              <w:keepNext w:val="0"/>
              <w:keepLines w:val="0"/>
              <w:pageBreakBefore w:val="0"/>
              <w:numPr>
                <w:ilvl w:val="0"/>
                <w:numId w:val="0"/>
              </w:numPr>
              <w:kinsoku/>
              <w:wordWrap/>
              <w:overflowPunct/>
              <w:topLinePunct w:val="0"/>
              <w:bidi w:val="0"/>
              <w:adjustRightInd/>
              <w:snapToGrid/>
              <w:spacing w:line="440" w:lineRule="exact"/>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③对本项目</w:t>
            </w:r>
            <w:r>
              <w:rPr>
                <w:rFonts w:hint="eastAsia" w:ascii="宋体" w:hAnsi="宋体" w:eastAsia="宋体" w:cs="宋体"/>
                <w:color w:val="auto"/>
                <w:spacing w:val="-5"/>
                <w:sz w:val="21"/>
                <w:szCs w:val="21"/>
                <w:highlight w:val="none"/>
              </w:rPr>
              <w:t>保密</w:t>
            </w:r>
            <w:r>
              <w:rPr>
                <w:rFonts w:hint="eastAsia" w:ascii="宋体" w:hAnsi="宋体" w:eastAsia="宋体" w:cs="宋体"/>
                <w:color w:val="auto"/>
                <w:sz w:val="21"/>
                <w:szCs w:val="21"/>
                <w:highlight w:val="none"/>
              </w:rPr>
              <w:t>要求理解不够深刻，不完全符合项目要求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方案不完整，可行性、实用性、针对性需要完善的得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26A524D0">
            <w:pPr>
              <w:pStyle w:val="17"/>
              <w:keepNext w:val="0"/>
              <w:keepLines w:val="0"/>
              <w:pageBreakBefore w:val="0"/>
              <w:numPr>
                <w:ilvl w:val="0"/>
                <w:numId w:val="0"/>
              </w:numPr>
              <w:kinsoku/>
              <w:wordWrap/>
              <w:overflowPunct/>
              <w:topLinePunct w:val="0"/>
              <w:bidi w:val="0"/>
              <w:adjustRightInd/>
              <w:snapToGrid/>
              <w:spacing w:line="440" w:lineRule="exact"/>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④</w:t>
            </w:r>
            <w:r>
              <w:rPr>
                <w:rFonts w:hint="eastAsia" w:ascii="宋体" w:hAnsi="宋体" w:eastAsia="宋体" w:cs="宋体"/>
                <w:color w:val="auto"/>
                <w:sz w:val="21"/>
                <w:szCs w:val="21"/>
                <w:highlight w:val="none"/>
              </w:rPr>
              <w:t>未提供</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不得分</w:t>
            </w:r>
            <w:r>
              <w:rPr>
                <w:rFonts w:hint="eastAsia" w:ascii="宋体" w:hAnsi="宋体" w:eastAsia="宋体" w:cs="宋体"/>
                <w:color w:val="auto"/>
                <w:sz w:val="21"/>
                <w:szCs w:val="21"/>
                <w:highlight w:val="none"/>
                <w:lang w:val="en-US" w:eastAsia="zh-CN"/>
              </w:rPr>
              <w:t>。</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3912B49">
            <w:pPr>
              <w:keepNext w:val="0"/>
              <w:keepLines w:val="0"/>
              <w:pageBreakBefore w:val="0"/>
              <w:kinsoku/>
              <w:wordWrap/>
              <w:overflowPunct/>
              <w:topLinePunct w:val="0"/>
              <w:autoSpaceDE w:val="0"/>
              <w:autoSpaceDN w:val="0"/>
              <w:bidi w:val="0"/>
              <w:adjustRightInd/>
              <w:snapToGrid/>
              <w:spacing w:line="44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r>
      <w:tr w14:paraId="280D2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6" w:type="dxa"/>
            <w:tcBorders>
              <w:left w:val="single" w:color="auto" w:sz="4" w:space="0"/>
              <w:right w:val="single" w:color="auto" w:sz="4" w:space="0"/>
            </w:tcBorders>
            <w:noWrap w:val="0"/>
            <w:vAlign w:val="center"/>
          </w:tcPr>
          <w:p w14:paraId="4F3407FA">
            <w:pPr>
              <w:keepNext w:val="0"/>
              <w:keepLines w:val="0"/>
              <w:pageBreakBefore w:val="0"/>
              <w:kinsoku/>
              <w:wordWrap/>
              <w:overflowPunct/>
              <w:topLinePunct w:val="0"/>
              <w:bidi w:val="0"/>
              <w:adjustRightInd/>
              <w:snapToGrid/>
              <w:spacing w:line="44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价格分</w:t>
            </w:r>
          </w:p>
          <w:p w14:paraId="7E693F13">
            <w:pPr>
              <w:keepNext w:val="0"/>
              <w:keepLines w:val="0"/>
              <w:pageBreakBefore w:val="0"/>
              <w:kinsoku/>
              <w:wordWrap/>
              <w:overflowPunct/>
              <w:topLinePunct w:val="0"/>
              <w:bidi w:val="0"/>
              <w:adjustRightInd/>
              <w:snapToGrid/>
              <w:spacing w:line="44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p>
        </w:tc>
        <w:tc>
          <w:tcPr>
            <w:tcW w:w="8812" w:type="dxa"/>
            <w:gridSpan w:val="3"/>
            <w:tcBorders>
              <w:top w:val="single" w:color="auto" w:sz="4" w:space="0"/>
              <w:left w:val="single" w:color="auto" w:sz="4" w:space="0"/>
              <w:bottom w:val="single" w:color="auto" w:sz="4" w:space="0"/>
              <w:right w:val="single" w:color="auto" w:sz="4" w:space="0"/>
            </w:tcBorders>
            <w:noWrap w:val="0"/>
            <w:vAlign w:val="center"/>
          </w:tcPr>
          <w:p w14:paraId="5AC4E9D6">
            <w:pPr>
              <w:keepNext w:val="0"/>
              <w:keepLines w:val="0"/>
              <w:pageBreakBefore w:val="0"/>
              <w:widowControl/>
              <w:kinsoku/>
              <w:wordWrap/>
              <w:overflowPunct/>
              <w:topLinePunct w:val="0"/>
              <w:bidi w:val="0"/>
              <w:adjustRightInd/>
              <w:snapToGrid/>
              <w:spacing w:line="440" w:lineRule="exact"/>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价格分统一采用低价优先法，即满足磋商文件要求且磋商价格最低的磋商报价为磋商基准价，其价格分为满分</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分。其他供应商的价格分统一按照下列公式计算：</w:t>
            </w:r>
          </w:p>
          <w:p w14:paraId="4CA43BB9">
            <w:pPr>
              <w:keepNext w:val="0"/>
              <w:keepLines w:val="0"/>
              <w:pageBreakBefore w:val="0"/>
              <w:widowControl/>
              <w:kinsoku/>
              <w:wordWrap/>
              <w:overflowPunct/>
              <w:topLinePunct w:val="0"/>
              <w:bidi w:val="0"/>
              <w:adjustRightInd/>
              <w:snapToGrid/>
              <w:spacing w:line="440" w:lineRule="exact"/>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磋商报价得分＝（评标基准价/磋商报价）×</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分，评分过程中，数据的计算过程和计算结果均保留两位小数，小数点后第三位四舍五入。</w:t>
            </w:r>
          </w:p>
        </w:tc>
      </w:tr>
    </w:tbl>
    <w:p w14:paraId="093C1F13">
      <w:pPr>
        <w:adjustRightInd w:val="0"/>
        <w:snapToGrid w:val="0"/>
        <w:spacing w:line="440" w:lineRule="exact"/>
        <w:ind w:firstLine="211" w:firstLineChars="100"/>
        <w:outlineLvl w:val="2"/>
        <w:rPr>
          <w:rFonts w:hint="eastAsia" w:ascii="宋体" w:hAnsi="宋体" w:cs="宋体"/>
          <w:b/>
          <w:bCs/>
          <w:color w:val="auto"/>
          <w:szCs w:val="21"/>
          <w:highlight w:val="none"/>
        </w:rPr>
      </w:pPr>
      <w:r>
        <w:rPr>
          <w:rFonts w:hint="eastAsia" w:ascii="宋体" w:hAnsi="宋体" w:cs="宋体"/>
          <w:b/>
          <w:bCs/>
          <w:color w:val="auto"/>
          <w:szCs w:val="21"/>
          <w:highlight w:val="none"/>
        </w:rPr>
        <w:t>（2）汇总</w:t>
      </w:r>
    </w:p>
    <w:p w14:paraId="777E3736">
      <w:pPr>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磋商小组将合格供应商的资信分、技术分和价格分汇总以后得到供应商的最终评审总得分，按照最终评审得分由高到低排出成交候选顺序。</w:t>
      </w:r>
    </w:p>
    <w:p w14:paraId="7A3325EF">
      <w:pPr>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最终评审得分出现两家或两家以上相同者，按最终报价由低到高排序确定成交候选供应商；评审总得分且最终报价相同的，则采取磋商小组抽签方式确定成交候选供应商。</w:t>
      </w:r>
    </w:p>
    <w:p w14:paraId="04F6A83C">
      <w:pPr>
        <w:spacing w:line="44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25.11磋商小组所有成员与供应商分别进行磋商，并给予所有参加磋商的供应商平等的磋商机会。磋商并不限定只进行二轮报价，如果磋商小组认为有必要，可以要求供应商进行多轮报价。在磋商内容不做实质性变更及重大调整的前提下，供应商下轮报价不得高于上一轮报价。</w:t>
      </w:r>
    </w:p>
    <w:p w14:paraId="51EE784F">
      <w:pPr>
        <w:spacing w:line="44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 xml:space="preserve">25.12为保证磋商活动顺利进行，供应商可派相关技术人员进行现场答疑。 </w:t>
      </w:r>
    </w:p>
    <w:p w14:paraId="4F2C308D">
      <w:pPr>
        <w:spacing w:line="44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25.13磋商小组根据与供应商磋商情况可能实质性变动磋商文件的内容，包括采购需求中的技术、服务要求以及合同草案条款。磋商文件有实质性变动的，经采购人代表确认作为磋商文件的有效组成部分，磋商小组将以书面形式通知所有参加磋商的供应商。</w:t>
      </w:r>
    </w:p>
    <w:p w14:paraId="24E7EB19">
      <w:pPr>
        <w:spacing w:line="44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25.14磋商过程中，磋商小组发现供应商的报价或者某些分项报价明显不合理或者低于成本，有可能影响商品质量和不能诚信履约的，应当要求其在规定的期限内提供书面文件予以解释说明，并提交相关证明材料；否则，磋商小组可以取消该供应商的成交候选资格，按顺序由排在后面的成交候选供应商递补，以此类推。</w:t>
      </w:r>
    </w:p>
    <w:p w14:paraId="75C96687">
      <w:pPr>
        <w:spacing w:line="44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25.15磋商结束后，磋商小组应当要求所有继续参加磋商的供应商在规定时间内提交最终报价，最终报价是供应商响应文件的有效组成部分，最终报价也是签订合同的依据。</w:t>
      </w:r>
    </w:p>
    <w:p w14:paraId="09D97F98">
      <w:pPr>
        <w:spacing w:line="440" w:lineRule="exact"/>
        <w:ind w:firstLine="413" w:firstLineChars="196"/>
        <w:outlineLvl w:val="1"/>
        <w:rPr>
          <w:rFonts w:hint="eastAsia" w:ascii="宋体" w:hAnsi="宋体" w:cs="宋体"/>
          <w:b/>
          <w:color w:val="auto"/>
          <w:szCs w:val="21"/>
          <w:highlight w:val="none"/>
        </w:rPr>
      </w:pPr>
      <w:r>
        <w:rPr>
          <w:rFonts w:hint="eastAsia" w:ascii="宋体" w:hAnsi="宋体" w:cs="宋体"/>
          <w:b/>
          <w:color w:val="auto"/>
          <w:szCs w:val="21"/>
          <w:highlight w:val="none"/>
        </w:rPr>
        <w:t>26.终止磋商</w:t>
      </w:r>
    </w:p>
    <w:p w14:paraId="663F6FB0">
      <w:pPr>
        <w:spacing w:line="44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26.1出现下列情况之一时，采购代理机构有权宣布终止磋商采购，并将理由通知所有供应商：</w:t>
      </w:r>
    </w:p>
    <w:p w14:paraId="4EF14AE8">
      <w:pPr>
        <w:spacing w:line="44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26.1.1有效供应商数量不足，导致本次磋商缺乏竞争的；</w:t>
      </w:r>
    </w:p>
    <w:p w14:paraId="2BA0F5AF">
      <w:pPr>
        <w:spacing w:line="44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26.1.2出现影响采购公正的违法、违规行为的；</w:t>
      </w:r>
    </w:p>
    <w:p w14:paraId="0968E7B5">
      <w:pPr>
        <w:spacing w:line="44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26.1.3因重大变故，采购任务取消的；</w:t>
      </w:r>
    </w:p>
    <w:p w14:paraId="3861F1D6">
      <w:pPr>
        <w:spacing w:line="44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26.1.4法律法规规定的其他情形。</w:t>
      </w:r>
    </w:p>
    <w:p w14:paraId="23B3B57B">
      <w:pPr>
        <w:pStyle w:val="6"/>
        <w:spacing w:before="156" w:beforeLines="50" w:after="156" w:afterLines="50" w:line="440" w:lineRule="exact"/>
        <w:jc w:val="center"/>
        <w:rPr>
          <w:rFonts w:hint="eastAsia" w:ascii="宋体" w:hAnsi="宋体" w:eastAsia="宋体" w:cs="宋体"/>
          <w:bCs w:val="0"/>
          <w:color w:val="auto"/>
          <w:sz w:val="28"/>
          <w:szCs w:val="28"/>
          <w:highlight w:val="none"/>
        </w:rPr>
      </w:pPr>
      <w:bookmarkStart w:id="23" w:name="_Toc427016286"/>
      <w:bookmarkStart w:id="24" w:name="_Toc461097057"/>
      <w:bookmarkStart w:id="25" w:name="_Toc519783889"/>
      <w:r>
        <w:rPr>
          <w:rFonts w:hint="eastAsia" w:ascii="宋体" w:hAnsi="宋体" w:eastAsia="宋体" w:cs="宋体"/>
          <w:bCs w:val="0"/>
          <w:color w:val="auto"/>
          <w:sz w:val="28"/>
          <w:szCs w:val="28"/>
          <w:highlight w:val="none"/>
        </w:rPr>
        <w:t>（六）确定成交供应商与签订合同</w:t>
      </w:r>
      <w:bookmarkEnd w:id="23"/>
      <w:bookmarkEnd w:id="24"/>
      <w:bookmarkEnd w:id="25"/>
    </w:p>
    <w:p w14:paraId="207F9777">
      <w:pPr>
        <w:spacing w:line="440" w:lineRule="exact"/>
        <w:ind w:firstLine="413" w:firstLineChars="196"/>
        <w:outlineLvl w:val="1"/>
        <w:rPr>
          <w:rFonts w:hint="eastAsia" w:ascii="宋体" w:hAnsi="宋体" w:cs="宋体"/>
          <w:b/>
          <w:color w:val="auto"/>
          <w:szCs w:val="21"/>
          <w:highlight w:val="none"/>
        </w:rPr>
      </w:pPr>
      <w:r>
        <w:rPr>
          <w:rFonts w:hint="eastAsia" w:ascii="宋体" w:hAnsi="宋体" w:cs="宋体"/>
          <w:b/>
          <w:color w:val="auto"/>
          <w:szCs w:val="21"/>
          <w:highlight w:val="none"/>
        </w:rPr>
        <w:t>27.确定成交供应商</w:t>
      </w:r>
    </w:p>
    <w:p w14:paraId="374D335B">
      <w:pPr>
        <w:spacing w:line="44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27.1磋商小组根据详细评审的结果确定成交候选供应商，并标明排列顺序。排名第一的成交候选供应商经采购人确定为成交供应商后，由采购代理机构在指定媒体上予以公告。</w:t>
      </w:r>
    </w:p>
    <w:p w14:paraId="785C0BB0">
      <w:pPr>
        <w:spacing w:line="44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27.2排名第一的成交候选供应商放弃成交、不按照磋商文件要求提交履约保证金、无故不能履行合同，或者被查实存在影响成交结果的违法行为等情形，不符合成交条件的，采购人可以按照磋商小组提出的成交候选供应商名单排序依次确定其他成交候选供应商为成交供应商，也可以重新开展项目磋商。</w:t>
      </w:r>
    </w:p>
    <w:p w14:paraId="3183AAEE">
      <w:pPr>
        <w:spacing w:line="440" w:lineRule="exact"/>
        <w:ind w:firstLine="411" w:firstLineChars="196"/>
        <w:outlineLvl w:val="2"/>
        <w:rPr>
          <w:rFonts w:hint="eastAsia" w:ascii="宋体" w:hAnsi="宋体" w:cs="宋体"/>
          <w:color w:val="auto"/>
          <w:szCs w:val="21"/>
          <w:highlight w:val="none"/>
        </w:rPr>
      </w:pPr>
      <w:r>
        <w:rPr>
          <w:rFonts w:hint="eastAsia" w:ascii="宋体" w:hAnsi="宋体" w:cs="宋体"/>
          <w:color w:val="auto"/>
          <w:szCs w:val="21"/>
          <w:highlight w:val="none"/>
        </w:rPr>
        <w:t>27.3最低报价并不是被授予合同的保证。</w:t>
      </w:r>
    </w:p>
    <w:p w14:paraId="19E5AAE3">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27.4凡发现成交候选供应商有下列行为之一的，其成交无效，并移交采购监督管理部门依法处理：</w:t>
      </w:r>
    </w:p>
    <w:p w14:paraId="16E897A6">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27.4.1以他人名义参加磋商或提供虚假材料弄虚作假谋取成交资格的；</w:t>
      </w:r>
    </w:p>
    <w:p w14:paraId="0A7A908C">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27.4.1.1以他人名义参加磋商，是指使用通过受让或者租借等方式获取的资格、资质证书参加磋商。</w:t>
      </w:r>
    </w:p>
    <w:p w14:paraId="64FFEB41">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27.4.1.2供应商下列情形之一的，属于提供弄虚作假的行为：</w:t>
      </w:r>
    </w:p>
    <w:p w14:paraId="4270A0D1">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27.4.1.2.1使用伪造、变造的许可证件；</w:t>
      </w:r>
    </w:p>
    <w:p w14:paraId="30237988">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27.4.1.2.2提供虚假的财务状况或者业绩；</w:t>
      </w:r>
    </w:p>
    <w:p w14:paraId="38A08EAB">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27.4.1.2.3提供虚假的项目负责人或者主要技术人员简历、劳动关系证明；</w:t>
      </w:r>
    </w:p>
    <w:p w14:paraId="21670FC1">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27.4.1.2.4提供虚假的信用状况；</w:t>
      </w:r>
    </w:p>
    <w:p w14:paraId="29C112C7">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27.4.1.2.5其他弄虚作假的行为。</w:t>
      </w:r>
    </w:p>
    <w:p w14:paraId="69AA33D3">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27.4.2与采购人、其他供应商或者某采购代理机构工作人员恶意串通的；</w:t>
      </w:r>
    </w:p>
    <w:p w14:paraId="32C36DD7">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27.4.3向采购人、评审专家、某采购代理机构工作人员行贿或者提供其他不正当利益的；</w:t>
      </w:r>
    </w:p>
    <w:p w14:paraId="7D5C0F28">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27.4.4有法律法规规定的其他损害采购人利益和社会公共利益情形的；</w:t>
      </w:r>
    </w:p>
    <w:p w14:paraId="60493813">
      <w:pPr>
        <w:spacing w:line="440" w:lineRule="exact"/>
        <w:ind w:firstLine="420" w:firstLineChars="200"/>
        <w:outlineLvl w:val="3"/>
        <w:rPr>
          <w:rFonts w:hint="eastAsia" w:ascii="宋体" w:hAnsi="宋体" w:cs="宋体"/>
          <w:color w:val="auto"/>
          <w:szCs w:val="21"/>
          <w:highlight w:val="none"/>
        </w:rPr>
      </w:pPr>
      <w:r>
        <w:rPr>
          <w:rFonts w:hint="eastAsia" w:ascii="宋体" w:hAnsi="宋体" w:cs="宋体"/>
          <w:color w:val="auto"/>
          <w:szCs w:val="21"/>
          <w:highlight w:val="none"/>
        </w:rPr>
        <w:t>27.4.5其他违反采购法律法规和规章强制性规定的行为。</w:t>
      </w:r>
    </w:p>
    <w:p w14:paraId="77D0FEA4">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27.5确定</w:t>
      </w:r>
      <w:r>
        <w:rPr>
          <w:rFonts w:hint="eastAsia" w:ascii="宋体" w:hAnsi="宋体" w:cs="宋体"/>
          <w:bCs/>
          <w:color w:val="auto"/>
          <w:szCs w:val="21"/>
          <w:highlight w:val="none"/>
        </w:rPr>
        <w:t>成交供应商前</w:t>
      </w:r>
      <w:r>
        <w:rPr>
          <w:rFonts w:hint="eastAsia" w:ascii="宋体" w:hAnsi="宋体" w:cs="宋体"/>
          <w:color w:val="auto"/>
          <w:szCs w:val="21"/>
          <w:highlight w:val="none"/>
        </w:rPr>
        <w:t>，采购代理机构可能会同采购人对成交候选供应商进行约谈。约谈包括诚信承诺、履约承诺以及原件核查等内容，约谈确认成交候选供应商无法实质性响应磋商文件要求的，成交无效。</w:t>
      </w:r>
    </w:p>
    <w:p w14:paraId="7B9EEE51">
      <w:pPr>
        <w:spacing w:line="440" w:lineRule="exact"/>
        <w:ind w:firstLine="413" w:firstLineChars="196"/>
        <w:outlineLvl w:val="1"/>
        <w:rPr>
          <w:rFonts w:hint="eastAsia" w:ascii="宋体" w:hAnsi="宋体" w:cs="宋体"/>
          <w:b/>
          <w:color w:val="auto"/>
          <w:szCs w:val="21"/>
          <w:highlight w:val="none"/>
        </w:rPr>
      </w:pPr>
      <w:r>
        <w:rPr>
          <w:rFonts w:hint="eastAsia" w:ascii="宋体" w:hAnsi="宋体" w:cs="宋体"/>
          <w:b/>
          <w:color w:val="auto"/>
          <w:szCs w:val="21"/>
          <w:highlight w:val="none"/>
        </w:rPr>
        <w:t>28.成交通知书</w:t>
      </w:r>
    </w:p>
    <w:p w14:paraId="452A4701">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28.1成交供应商确定后，采购代理机构将在刊登本次磋商公告的媒体上发布成交公告，同时以书面形式向成交供应商发出成交通知书。成交供应商应委派专人凭介绍信或公司授权书（须携带身份证）到采购代理机构领取成交通知书。成交通知书对采购人和成交供应商具有同等法律效力。成交通知书发出以后，采购人改变成交结果或者成交供应商放弃成交资格，应当承担相应的法律责任。</w:t>
      </w:r>
    </w:p>
    <w:p w14:paraId="66991D30">
      <w:pPr>
        <w:spacing w:line="440" w:lineRule="exact"/>
        <w:ind w:firstLine="420" w:firstLineChars="200"/>
        <w:outlineLvl w:val="2"/>
        <w:rPr>
          <w:rFonts w:hint="eastAsia" w:ascii="宋体" w:hAnsi="宋体" w:cs="宋体"/>
          <w:color w:val="auto"/>
          <w:szCs w:val="21"/>
          <w:highlight w:val="none"/>
        </w:rPr>
      </w:pPr>
      <w:r>
        <w:rPr>
          <w:rFonts w:hint="eastAsia" w:ascii="宋体" w:hAnsi="宋体" w:cs="宋体"/>
          <w:color w:val="auto"/>
          <w:szCs w:val="21"/>
          <w:highlight w:val="none"/>
        </w:rPr>
        <w:t>28.2采购代理机构对未成交的供应商不做未成交原因的解释。</w:t>
      </w:r>
    </w:p>
    <w:p w14:paraId="359DE1D3">
      <w:pPr>
        <w:spacing w:line="440" w:lineRule="exact"/>
        <w:ind w:firstLine="413" w:firstLineChars="196"/>
        <w:rPr>
          <w:rFonts w:hint="eastAsia" w:ascii="宋体" w:hAnsi="宋体" w:cs="宋体"/>
          <w:b/>
          <w:color w:val="auto"/>
          <w:szCs w:val="21"/>
          <w:highlight w:val="none"/>
        </w:rPr>
      </w:pPr>
      <w:r>
        <w:rPr>
          <w:rFonts w:hint="eastAsia" w:ascii="宋体" w:hAnsi="宋体" w:cs="宋体"/>
          <w:b/>
          <w:color w:val="auto"/>
          <w:szCs w:val="21"/>
          <w:highlight w:val="none"/>
        </w:rPr>
        <w:t>29.成交金额：经评审的最终报价</w:t>
      </w:r>
    </w:p>
    <w:p w14:paraId="373EDA88">
      <w:pPr>
        <w:spacing w:line="440" w:lineRule="exact"/>
        <w:ind w:firstLine="413" w:firstLineChars="196"/>
        <w:rPr>
          <w:rFonts w:hint="eastAsia" w:ascii="宋体" w:hAnsi="宋体" w:cs="宋体"/>
          <w:b/>
          <w:color w:val="auto"/>
          <w:szCs w:val="21"/>
          <w:highlight w:val="none"/>
        </w:rPr>
      </w:pPr>
      <w:r>
        <w:rPr>
          <w:rFonts w:hint="eastAsia" w:ascii="宋体" w:hAnsi="宋体" w:cs="宋体"/>
          <w:b/>
          <w:color w:val="auto"/>
          <w:szCs w:val="21"/>
          <w:highlight w:val="none"/>
        </w:rPr>
        <w:t xml:space="preserve">30.履约保证金 </w:t>
      </w:r>
    </w:p>
    <w:p w14:paraId="017EF179">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30.1签订合同前，成交供应商应提交履约保证金。履约保证金金额、收受方式及收受人见磋商须知前附表规定。</w:t>
      </w:r>
    </w:p>
    <w:p w14:paraId="793EE07E">
      <w:pPr>
        <w:spacing w:line="440" w:lineRule="exact"/>
        <w:ind w:firstLine="420" w:firstLineChars="200"/>
        <w:outlineLvl w:val="2"/>
        <w:rPr>
          <w:rFonts w:hint="eastAsia" w:ascii="宋体" w:hAnsi="宋体" w:cs="宋体"/>
          <w:color w:val="auto"/>
          <w:szCs w:val="21"/>
          <w:highlight w:val="none"/>
        </w:rPr>
      </w:pPr>
      <w:r>
        <w:rPr>
          <w:rFonts w:hint="eastAsia" w:ascii="宋体" w:hAnsi="宋体" w:cs="宋体"/>
          <w:color w:val="auto"/>
          <w:szCs w:val="21"/>
          <w:highlight w:val="none"/>
        </w:rPr>
        <w:t>30.2磋商须知前附表约定免收履约保证金的，从其规定。</w:t>
      </w:r>
    </w:p>
    <w:p w14:paraId="5ADC99D9">
      <w:pPr>
        <w:spacing w:line="440" w:lineRule="exact"/>
        <w:ind w:firstLine="413" w:firstLineChars="196"/>
        <w:outlineLvl w:val="1"/>
        <w:rPr>
          <w:rFonts w:hint="eastAsia" w:ascii="宋体" w:hAnsi="宋体" w:cs="宋体"/>
          <w:b/>
          <w:color w:val="auto"/>
          <w:szCs w:val="21"/>
          <w:highlight w:val="none"/>
        </w:rPr>
      </w:pPr>
      <w:r>
        <w:rPr>
          <w:rFonts w:hint="eastAsia" w:ascii="宋体" w:hAnsi="宋体" w:cs="宋体"/>
          <w:b/>
          <w:color w:val="auto"/>
          <w:szCs w:val="21"/>
          <w:highlight w:val="none"/>
        </w:rPr>
        <w:t>31.签订合同</w:t>
      </w:r>
    </w:p>
    <w:p w14:paraId="7E6498CB">
      <w:pPr>
        <w:spacing w:line="44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31.1成交供应商应按采购代理机构规定的时间、地点与采购人签订采购合同。合同见证前成交供应商应向采购代理机构出示履约保证金缴纳证明。</w:t>
      </w:r>
    </w:p>
    <w:p w14:paraId="23B44341">
      <w:pPr>
        <w:spacing w:line="44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31.2采购双方应按照磋商文件、响应文件及磋商过程中的有关澄清、说明或补正文件的内容签订合同，不得擅自变更。合同的标的、价款、质量、履行期限等主要条款应当与磋商文件和成交供应商的响应文件的内容一致，采购人和成交供应商不得再行订立背离合同实质性内容的其他协议。对任何因双方擅自变更合同引起的问题采购代理机构概不负责，合同风险由双方自行承担。</w:t>
      </w:r>
    </w:p>
    <w:p w14:paraId="0FC8CAEA">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31.3采购人保留以书面形式要求合同的卖方对其所投货物或服务的装运方式、服务地点及服务细则等做适当调整的权利。</w:t>
      </w:r>
    </w:p>
    <w:p w14:paraId="74D2EF35">
      <w:pPr>
        <w:spacing w:line="440" w:lineRule="exact"/>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31.4</w:t>
      </w:r>
      <w:r>
        <w:rPr>
          <w:rFonts w:hint="eastAsia" w:ascii="宋体" w:hAnsi="宋体" w:cs="宋体"/>
          <w:bCs/>
          <w:color w:val="auto"/>
          <w:szCs w:val="21"/>
          <w:highlight w:val="none"/>
        </w:rPr>
        <w:t>无论基于何种原因，各项本应作拒绝处理的情形即便未被及时发现而使该供应商进入评审或其他后续程序，包括已经签约的情形，一旦在任何时间被发现，采购代理机构均有权决定取消该供应商此前评议的结果或对该最终报价予以拒绝，并有权采取相应的补救或纠正措施。一旦该供应商被拒绝或被取消此前评议结果，其现有的位置将被其他供应商依序替代或重新组织采购，相关的一切损失均由该供应商自行承担。</w:t>
      </w:r>
    </w:p>
    <w:p w14:paraId="409E11AC">
      <w:pPr>
        <w:spacing w:line="440" w:lineRule="exact"/>
        <w:ind w:firstLine="413" w:firstLineChars="196"/>
        <w:outlineLvl w:val="1"/>
        <w:rPr>
          <w:rFonts w:hint="eastAsia" w:ascii="宋体" w:hAnsi="宋体" w:cs="宋体"/>
          <w:color w:val="auto"/>
          <w:szCs w:val="21"/>
          <w:highlight w:val="none"/>
        </w:rPr>
      </w:pPr>
      <w:r>
        <w:rPr>
          <w:rFonts w:hint="eastAsia" w:ascii="宋体" w:hAnsi="宋体" w:cs="宋体"/>
          <w:b/>
          <w:color w:val="auto"/>
          <w:szCs w:val="21"/>
          <w:highlight w:val="none"/>
        </w:rPr>
        <w:t>32.验收</w:t>
      </w:r>
    </w:p>
    <w:p w14:paraId="6F79514E">
      <w:pPr>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32.1采购人验收时，应成立三人以上验收小组，明确责任，严格依照磋商文件、成交通知书、采购合同及相关验收规范进行核对、验收，形成验收结论，并出具书面验收报告。</w:t>
      </w:r>
    </w:p>
    <w:p w14:paraId="1ECD00FE">
      <w:pPr>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32.2涉及安全、消防、环保等其他需要由质检或行业主管部门进行验收的项目，必须邀请相关部门或相关专家参与验收。</w:t>
      </w:r>
    </w:p>
    <w:p w14:paraId="75B3513A">
      <w:pPr>
        <w:spacing w:line="440" w:lineRule="exact"/>
        <w:ind w:firstLine="413" w:firstLineChars="196"/>
        <w:outlineLvl w:val="1"/>
        <w:rPr>
          <w:rFonts w:hint="eastAsia" w:ascii="宋体" w:hAnsi="宋体" w:cs="宋体"/>
          <w:b/>
          <w:color w:val="auto"/>
          <w:szCs w:val="21"/>
          <w:highlight w:val="none"/>
        </w:rPr>
      </w:pPr>
      <w:r>
        <w:rPr>
          <w:rFonts w:hint="eastAsia" w:ascii="宋体" w:hAnsi="宋体" w:cs="宋体"/>
          <w:b/>
          <w:color w:val="auto"/>
          <w:szCs w:val="21"/>
          <w:highlight w:val="none"/>
        </w:rPr>
        <w:t>33.质疑</w:t>
      </w:r>
    </w:p>
    <w:p w14:paraId="5981A643">
      <w:pPr>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33.1质疑人认为预成交结果使自己的权益受到损害的，可以向采购代理机构提出质疑。质疑实行实名制，应当有具体的事项及根据，不得进行虚假、恶意质疑，扰乱采购的正常工作秩序。</w:t>
      </w:r>
    </w:p>
    <w:p w14:paraId="4F2B783E">
      <w:pPr>
        <w:spacing w:line="440" w:lineRule="exact"/>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投标供应商对采购文件内容有疑问的，须在采购文件规定的质疑截止时间前，向采购人提出询问或者质疑，未在规定质疑截止时间内提出异议的，该质疑不予受理，并视同投标供应商认可采购文件所有内容。</w:t>
      </w:r>
    </w:p>
    <w:p w14:paraId="32958AE3">
      <w:pPr>
        <w:spacing w:line="440" w:lineRule="exact"/>
        <w:ind w:firstLine="420" w:firstLineChars="200"/>
        <w:outlineLvl w:val="2"/>
        <w:rPr>
          <w:rFonts w:hint="eastAsia" w:ascii="宋体" w:hAnsi="宋体" w:cs="宋体"/>
          <w:bCs/>
          <w:color w:val="auto"/>
          <w:szCs w:val="21"/>
          <w:highlight w:val="none"/>
        </w:rPr>
      </w:pPr>
      <w:r>
        <w:rPr>
          <w:rFonts w:hint="eastAsia" w:ascii="宋体" w:hAnsi="宋体" w:cs="宋体"/>
          <w:bCs/>
          <w:color w:val="auto"/>
          <w:szCs w:val="21"/>
          <w:highlight w:val="none"/>
        </w:rPr>
        <w:t xml:space="preserve">33.2质疑应在规定时限内提出： </w:t>
      </w:r>
    </w:p>
    <w:p w14:paraId="7A6F0A05">
      <w:pPr>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对采购成交结果的质疑，应在成交结果公布之日起七个工作日内提出。</w:t>
      </w:r>
    </w:p>
    <w:p w14:paraId="359D13E5">
      <w:pPr>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33.3质疑应以书面形式实名提出，书面质疑材料应当包括以下内容：</w:t>
      </w:r>
    </w:p>
    <w:p w14:paraId="6EE01DEE">
      <w:pPr>
        <w:widowControl/>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33.3.1质疑人的名称、地址、有效联系方式；</w:t>
      </w:r>
    </w:p>
    <w:p w14:paraId="0F5A5900">
      <w:pPr>
        <w:widowControl/>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33.3.2项目名称、项目编号、包别号（如有）；</w:t>
      </w:r>
    </w:p>
    <w:p w14:paraId="6ADC3245">
      <w:pPr>
        <w:widowControl/>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33.3.3被质疑人名称；</w:t>
      </w:r>
    </w:p>
    <w:p w14:paraId="3C4B7B06">
      <w:pPr>
        <w:widowControl/>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33.3.4具体的质疑事项、基本事实及必要的证明材料；</w:t>
      </w:r>
    </w:p>
    <w:p w14:paraId="554A6AC2">
      <w:pPr>
        <w:widowControl/>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33.3.5明确的请求及主张；</w:t>
      </w:r>
    </w:p>
    <w:p w14:paraId="47BFC089">
      <w:pPr>
        <w:widowControl/>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33.3.6提起质疑的日期。</w:t>
      </w:r>
    </w:p>
    <w:p w14:paraId="0FC70AF2">
      <w:pPr>
        <w:widowControl/>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质疑人为法人或者其他组织的，应当由</w:t>
      </w:r>
      <w:r>
        <w:rPr>
          <w:rFonts w:hint="eastAsia" w:ascii="宋体" w:hAnsi="宋体" w:cs="宋体"/>
          <w:color w:val="auto"/>
          <w:szCs w:val="21"/>
          <w:highlight w:val="none"/>
        </w:rPr>
        <w:t>法定代表人</w:t>
      </w:r>
      <w:r>
        <w:rPr>
          <w:rFonts w:hint="eastAsia" w:ascii="宋体" w:hAnsi="宋体" w:cs="宋体"/>
          <w:color w:val="auto"/>
          <w:kern w:val="0"/>
          <w:szCs w:val="21"/>
          <w:highlight w:val="none"/>
        </w:rPr>
        <w:t>或其委托代理人（需有委托授权书）签字并加盖公章。</w:t>
      </w:r>
    </w:p>
    <w:p w14:paraId="359A89FC">
      <w:pPr>
        <w:widowControl/>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质疑人需要修改、补充质疑材料的，应当在质疑期内提交修改或补充材料。</w:t>
      </w:r>
    </w:p>
    <w:p w14:paraId="04B5F7C9">
      <w:pPr>
        <w:spacing w:line="440" w:lineRule="exact"/>
        <w:ind w:firstLine="420" w:firstLineChars="200"/>
        <w:outlineLvl w:val="2"/>
        <w:rPr>
          <w:rFonts w:hint="eastAsia" w:ascii="宋体" w:hAnsi="宋体" w:cs="宋体"/>
          <w:bCs/>
          <w:color w:val="auto"/>
          <w:szCs w:val="21"/>
          <w:highlight w:val="none"/>
        </w:rPr>
      </w:pPr>
      <w:r>
        <w:rPr>
          <w:rFonts w:hint="eastAsia" w:ascii="宋体" w:hAnsi="宋体" w:cs="宋体"/>
          <w:bCs/>
          <w:color w:val="auto"/>
          <w:szCs w:val="21"/>
          <w:highlight w:val="none"/>
        </w:rPr>
        <w:t>33.4有下列情形之一的，不予受理：</w:t>
      </w:r>
    </w:p>
    <w:p w14:paraId="08F7632C">
      <w:pPr>
        <w:widowControl/>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bCs/>
          <w:color w:val="auto"/>
          <w:szCs w:val="21"/>
          <w:highlight w:val="none"/>
        </w:rPr>
        <w:t>33</w:t>
      </w:r>
      <w:r>
        <w:rPr>
          <w:rFonts w:hint="eastAsia" w:ascii="宋体" w:hAnsi="宋体" w:cs="宋体"/>
          <w:color w:val="auto"/>
          <w:kern w:val="0"/>
          <w:szCs w:val="21"/>
          <w:highlight w:val="none"/>
        </w:rPr>
        <w:t>.4.1提起质疑的主体不是参与该采购项目活动的供应商；</w:t>
      </w:r>
    </w:p>
    <w:p w14:paraId="3A8A9EE0">
      <w:pPr>
        <w:widowControl/>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bCs/>
          <w:color w:val="auto"/>
          <w:szCs w:val="21"/>
          <w:highlight w:val="none"/>
        </w:rPr>
        <w:t>33</w:t>
      </w:r>
      <w:r>
        <w:rPr>
          <w:rFonts w:hint="eastAsia" w:ascii="宋体" w:hAnsi="宋体" w:cs="宋体"/>
          <w:color w:val="auto"/>
          <w:kern w:val="0"/>
          <w:szCs w:val="21"/>
          <w:highlight w:val="none"/>
        </w:rPr>
        <w:t>.4.2提起质疑的时间超过规定时限的；</w:t>
      </w:r>
    </w:p>
    <w:p w14:paraId="724609DE">
      <w:pPr>
        <w:widowControl/>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bCs/>
          <w:color w:val="auto"/>
          <w:szCs w:val="21"/>
          <w:highlight w:val="none"/>
        </w:rPr>
        <w:t>33</w:t>
      </w:r>
      <w:r>
        <w:rPr>
          <w:rFonts w:hint="eastAsia" w:ascii="宋体" w:hAnsi="宋体" w:cs="宋体"/>
          <w:color w:val="auto"/>
          <w:kern w:val="0"/>
          <w:szCs w:val="21"/>
          <w:highlight w:val="none"/>
        </w:rPr>
        <w:t>.4.3质疑材料不完整的；</w:t>
      </w:r>
    </w:p>
    <w:p w14:paraId="07C4D036">
      <w:pPr>
        <w:widowControl/>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bCs/>
          <w:color w:val="auto"/>
          <w:szCs w:val="21"/>
          <w:highlight w:val="none"/>
        </w:rPr>
        <w:t>33</w:t>
      </w:r>
      <w:r>
        <w:rPr>
          <w:rFonts w:hint="eastAsia" w:ascii="宋体" w:hAnsi="宋体" w:cs="宋体"/>
          <w:color w:val="auto"/>
          <w:kern w:val="0"/>
          <w:szCs w:val="21"/>
          <w:highlight w:val="none"/>
        </w:rPr>
        <w:t>.4.4质疑事项含有主观猜测等内容且未提供有效线索、难以查证的；</w:t>
      </w:r>
    </w:p>
    <w:p w14:paraId="73CF6823">
      <w:pPr>
        <w:widowControl/>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bCs/>
          <w:color w:val="auto"/>
          <w:szCs w:val="21"/>
          <w:highlight w:val="none"/>
        </w:rPr>
        <w:t>33</w:t>
      </w:r>
      <w:r>
        <w:rPr>
          <w:rFonts w:hint="eastAsia" w:ascii="宋体" w:hAnsi="宋体" w:cs="宋体"/>
          <w:color w:val="auto"/>
          <w:kern w:val="0"/>
          <w:szCs w:val="21"/>
          <w:highlight w:val="none"/>
        </w:rPr>
        <w:t>.4.5对其他供应商的响应文件详细内容质疑，证据来源无法提供合法来源渠道的；</w:t>
      </w:r>
    </w:p>
    <w:p w14:paraId="58BFEAB6">
      <w:pPr>
        <w:widowControl/>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bCs/>
          <w:color w:val="auto"/>
          <w:szCs w:val="21"/>
          <w:highlight w:val="none"/>
        </w:rPr>
        <w:t>33</w:t>
      </w:r>
      <w:r>
        <w:rPr>
          <w:rFonts w:hint="eastAsia" w:ascii="宋体" w:hAnsi="宋体" w:cs="宋体"/>
          <w:color w:val="auto"/>
          <w:kern w:val="0"/>
          <w:szCs w:val="21"/>
          <w:highlight w:val="none"/>
        </w:rPr>
        <w:t>.4.6质疑事项已进入投诉处理、行政复议或行政诉讼程序的。</w:t>
      </w:r>
    </w:p>
    <w:p w14:paraId="51F2F8C6">
      <w:pPr>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33.5经审查符合质疑条件的，自收到质疑之日起即为受理。采购代理机构将在质疑受理后7个工作日内作出答复或相关处理决定（需要检验、检测、鉴定、专家评审的，所需时间不计算在内），并以书面形式通知质疑人，答复的内容不得涉及商业秘密。</w:t>
      </w:r>
    </w:p>
    <w:p w14:paraId="78A2FAB3">
      <w:pPr>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33.6质疑人在答复期满前撤回质疑的，应由</w:t>
      </w:r>
      <w:r>
        <w:rPr>
          <w:rFonts w:hint="eastAsia" w:ascii="宋体" w:hAnsi="宋体" w:cs="宋体"/>
          <w:color w:val="auto"/>
          <w:szCs w:val="21"/>
          <w:highlight w:val="none"/>
        </w:rPr>
        <w:t>法定代表人</w:t>
      </w:r>
      <w:r>
        <w:rPr>
          <w:rFonts w:hint="eastAsia" w:ascii="宋体" w:hAnsi="宋体" w:cs="宋体"/>
          <w:bCs/>
          <w:color w:val="auto"/>
          <w:szCs w:val="21"/>
          <w:highlight w:val="none"/>
        </w:rPr>
        <w:t>或授权代表人签字确认，采购代理机构即终止质疑处理程序。质疑人不得以同一理由再次质疑。</w:t>
      </w:r>
    </w:p>
    <w:p w14:paraId="0ABEAF5E">
      <w:pPr>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质疑人对质疑答复不满意或某采购代理机构未在规定时间内作出答复的，可以在规定期限内向监督管理部门提起投诉。</w:t>
      </w:r>
    </w:p>
    <w:p w14:paraId="21345209">
      <w:pPr>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质疑人应在答复期满后十五个工作日内提起投诉。</w:t>
      </w:r>
    </w:p>
    <w:p w14:paraId="19913A2B">
      <w:pPr>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33.7质疑人有下列情形之一的，属于虚假、恶意质疑，采购代理机构将报监督管理部门予以处理。</w:t>
      </w:r>
    </w:p>
    <w:p w14:paraId="7CAD971D">
      <w:pPr>
        <w:spacing w:line="440" w:lineRule="exact"/>
        <w:ind w:firstLine="420" w:firstLineChars="200"/>
        <w:outlineLvl w:val="3"/>
        <w:rPr>
          <w:rFonts w:hint="eastAsia" w:ascii="宋体" w:hAnsi="宋体" w:cs="宋体"/>
          <w:bCs/>
          <w:color w:val="auto"/>
          <w:szCs w:val="21"/>
          <w:highlight w:val="none"/>
        </w:rPr>
      </w:pPr>
      <w:r>
        <w:rPr>
          <w:rFonts w:hint="eastAsia" w:ascii="宋体" w:hAnsi="宋体" w:cs="宋体"/>
          <w:bCs/>
          <w:color w:val="auto"/>
          <w:szCs w:val="21"/>
          <w:highlight w:val="none"/>
        </w:rPr>
        <w:t>33.7.1一年内三次以上质疑均查无实据的；</w:t>
      </w:r>
    </w:p>
    <w:p w14:paraId="49296AC2">
      <w:pPr>
        <w:spacing w:line="440" w:lineRule="exact"/>
        <w:ind w:firstLine="411" w:firstLineChars="196"/>
        <w:rPr>
          <w:rFonts w:hint="eastAsia" w:ascii="宋体" w:hAnsi="宋体" w:cs="宋体"/>
          <w:color w:val="auto"/>
          <w:szCs w:val="21"/>
          <w:highlight w:val="none"/>
        </w:rPr>
      </w:pPr>
      <w:r>
        <w:rPr>
          <w:rFonts w:hint="eastAsia" w:ascii="宋体" w:hAnsi="宋体" w:cs="宋体"/>
          <w:bCs/>
          <w:color w:val="auto"/>
          <w:szCs w:val="21"/>
          <w:highlight w:val="none"/>
        </w:rPr>
        <w:t>33.7.2捏造事实恶意诬陷他人、有意提供虚假质疑材料的</w:t>
      </w:r>
      <w:r>
        <w:rPr>
          <w:rFonts w:hint="eastAsia" w:ascii="宋体" w:hAnsi="宋体" w:cs="宋体"/>
          <w:color w:val="auto"/>
          <w:szCs w:val="21"/>
          <w:highlight w:val="none"/>
        </w:rPr>
        <w:t>或者通过非法手段获取材料的。</w:t>
      </w:r>
    </w:p>
    <w:p w14:paraId="157C21D3">
      <w:pPr>
        <w:spacing w:line="440" w:lineRule="exact"/>
        <w:ind w:firstLine="413" w:firstLineChars="196"/>
        <w:outlineLvl w:val="1"/>
        <w:rPr>
          <w:rFonts w:hint="eastAsia" w:ascii="宋体" w:hAnsi="宋体" w:cs="宋体"/>
          <w:b/>
          <w:color w:val="auto"/>
          <w:szCs w:val="21"/>
          <w:highlight w:val="none"/>
        </w:rPr>
      </w:pPr>
      <w:r>
        <w:rPr>
          <w:rFonts w:hint="eastAsia" w:ascii="宋体" w:hAnsi="宋体" w:cs="宋体"/>
          <w:b/>
          <w:color w:val="auto"/>
          <w:szCs w:val="21"/>
          <w:highlight w:val="none"/>
        </w:rPr>
        <w:t>34.未尽事宜</w:t>
      </w:r>
    </w:p>
    <w:p w14:paraId="33110476">
      <w:pPr>
        <w:spacing w:line="440" w:lineRule="exact"/>
        <w:ind w:firstLine="420" w:firstLineChars="200"/>
        <w:outlineLvl w:val="2"/>
        <w:rPr>
          <w:rFonts w:hint="eastAsia" w:ascii="宋体" w:hAnsi="宋体" w:cs="宋体"/>
          <w:color w:val="auto"/>
          <w:szCs w:val="21"/>
          <w:highlight w:val="none"/>
        </w:rPr>
      </w:pPr>
      <w:r>
        <w:rPr>
          <w:rFonts w:hint="eastAsia" w:ascii="宋体" w:hAnsi="宋体" w:cs="宋体"/>
          <w:color w:val="auto"/>
          <w:szCs w:val="21"/>
          <w:highlight w:val="none"/>
        </w:rPr>
        <w:t>34.1参照相关法律法规的规定执行。</w:t>
      </w:r>
    </w:p>
    <w:p w14:paraId="261A6377">
      <w:pPr>
        <w:spacing w:line="440" w:lineRule="exact"/>
        <w:ind w:firstLine="413" w:firstLineChars="196"/>
        <w:outlineLvl w:val="1"/>
        <w:rPr>
          <w:rFonts w:hint="eastAsia" w:ascii="宋体" w:hAnsi="宋体" w:cs="宋体"/>
          <w:bCs/>
          <w:color w:val="auto"/>
          <w:szCs w:val="21"/>
          <w:highlight w:val="none"/>
        </w:rPr>
      </w:pPr>
      <w:r>
        <w:rPr>
          <w:rFonts w:hint="eastAsia" w:ascii="宋体" w:hAnsi="宋体" w:cs="宋体"/>
          <w:b/>
          <w:color w:val="auto"/>
          <w:szCs w:val="21"/>
          <w:highlight w:val="none"/>
        </w:rPr>
        <w:t>35.解释权</w:t>
      </w:r>
    </w:p>
    <w:p w14:paraId="7EA1C2FA">
      <w:pPr>
        <w:spacing w:line="440" w:lineRule="exact"/>
        <w:ind w:firstLine="420" w:firstLineChars="200"/>
        <w:outlineLvl w:val="2"/>
        <w:rPr>
          <w:rFonts w:hint="eastAsia" w:ascii="宋体" w:hAnsi="宋体" w:cs="宋体"/>
          <w:color w:val="auto"/>
          <w:highlight w:val="none"/>
        </w:rPr>
      </w:pPr>
      <w:r>
        <w:rPr>
          <w:rFonts w:hint="eastAsia" w:ascii="宋体" w:hAnsi="宋体" w:cs="宋体"/>
          <w:bCs/>
          <w:color w:val="auto"/>
          <w:szCs w:val="21"/>
          <w:highlight w:val="none"/>
        </w:rPr>
        <w:t>35.1本磋商文件的解释权属于采购人或采购代理机构。</w:t>
      </w:r>
      <w:bookmarkStart w:id="26" w:name="_Toc463053207"/>
      <w:bookmarkStart w:id="27" w:name="_Toc519783890"/>
      <w:bookmarkStart w:id="28" w:name="_Toc427106476"/>
      <w:bookmarkStart w:id="29" w:name="_Toc427016287"/>
      <w:bookmarkStart w:id="30" w:name="_Toc427106477"/>
    </w:p>
    <w:p w14:paraId="6CF10DD4">
      <w:pPr>
        <w:pageBreakBefore/>
        <w:jc w:val="center"/>
        <w:rPr>
          <w:rFonts w:hint="eastAsia" w:ascii="宋体" w:hAnsi="宋体" w:cs="宋体"/>
          <w:b/>
          <w:color w:val="auto"/>
          <w:sz w:val="28"/>
          <w:highlight w:val="none"/>
        </w:rPr>
        <w:sectPr>
          <w:footerReference r:id="rId6" w:type="first"/>
          <w:footerReference r:id="rId5" w:type="default"/>
          <w:pgSz w:w="11906" w:h="16838"/>
          <w:pgMar w:top="1134" w:right="1417" w:bottom="1134" w:left="1417" w:header="283" w:footer="680" w:gutter="0"/>
          <w:pgNumType w:start="1"/>
          <w:cols w:space="720" w:num="1"/>
          <w:titlePg/>
          <w:docGrid w:type="lines" w:linePitch="312" w:charSpace="0"/>
        </w:sectPr>
      </w:pPr>
    </w:p>
    <w:p w14:paraId="2EDD9205">
      <w:pPr>
        <w:pageBreakBefore/>
        <w:jc w:val="center"/>
        <w:outlineLvl w:val="3"/>
        <w:rPr>
          <w:rFonts w:hint="eastAsia" w:ascii="宋体" w:hAnsi="宋体" w:cs="宋体"/>
          <w:b/>
          <w:color w:val="auto"/>
          <w:sz w:val="28"/>
          <w:highlight w:val="none"/>
        </w:rPr>
      </w:pPr>
      <w:r>
        <w:rPr>
          <w:rFonts w:hint="eastAsia" w:ascii="宋体" w:hAnsi="宋体" w:cs="宋体"/>
          <w:b/>
          <w:color w:val="auto"/>
          <w:sz w:val="28"/>
          <w:highlight w:val="none"/>
        </w:rPr>
        <w:t>采购服务需求及技术要求</w:t>
      </w:r>
    </w:p>
    <w:bookmarkEnd w:id="26"/>
    <w:bookmarkEnd w:id="27"/>
    <w:bookmarkEnd w:id="28"/>
    <w:bookmarkEnd w:id="29"/>
    <w:p w14:paraId="23E56FC9">
      <w:pPr>
        <w:keepNext w:val="0"/>
        <w:keepLines w:val="0"/>
        <w:pageBreakBefore w:val="0"/>
        <w:widowControl w:val="0"/>
        <w:kinsoku/>
        <w:wordWrap/>
        <w:overflowPunct/>
        <w:topLinePunct w:val="0"/>
        <w:autoSpaceDE/>
        <w:autoSpaceDN/>
        <w:bidi w:val="0"/>
        <w:adjustRightInd/>
        <w:snapToGrid/>
        <w:spacing w:line="440" w:lineRule="exact"/>
        <w:ind w:firstLine="422" w:firstLineChars="200"/>
        <w:rPr>
          <w:rFonts w:hint="eastAsia" w:ascii="宋体" w:hAnsi="宋体" w:eastAsia="宋体" w:cs="宋体"/>
          <w:color w:val="auto"/>
          <w:sz w:val="21"/>
          <w:szCs w:val="21"/>
          <w:highlight w:val="none"/>
        </w:rPr>
      </w:pPr>
      <w:bookmarkStart w:id="31" w:name="_Toc519783892"/>
      <w:r>
        <w:rPr>
          <w:rFonts w:hint="eastAsia" w:ascii="宋体" w:hAnsi="宋体" w:eastAsia="宋体" w:cs="宋体"/>
          <w:b/>
          <w:color w:val="auto"/>
          <w:sz w:val="21"/>
          <w:szCs w:val="21"/>
          <w:highlight w:val="none"/>
        </w:rPr>
        <w:t>一、</w:t>
      </w:r>
      <w:r>
        <w:rPr>
          <w:rFonts w:hint="eastAsia" w:ascii="宋体" w:hAnsi="宋体" w:eastAsia="宋体" w:cs="宋体"/>
          <w:b/>
          <w:color w:val="auto"/>
          <w:sz w:val="21"/>
          <w:szCs w:val="21"/>
          <w:highlight w:val="none"/>
          <w:lang w:eastAsia="zh-CN"/>
        </w:rPr>
        <w:t>采购服务</w:t>
      </w:r>
      <w:r>
        <w:rPr>
          <w:rFonts w:hint="eastAsia" w:ascii="宋体" w:hAnsi="宋体" w:eastAsia="宋体" w:cs="宋体"/>
          <w:b/>
          <w:color w:val="auto"/>
          <w:sz w:val="21"/>
          <w:szCs w:val="21"/>
          <w:highlight w:val="none"/>
        </w:rPr>
        <w:t>内容</w:t>
      </w:r>
    </w:p>
    <w:tbl>
      <w:tblPr>
        <w:tblStyle w:val="35"/>
        <w:tblpPr w:leftFromText="180" w:rightFromText="180" w:vertAnchor="text" w:horzAnchor="margin" w:tblpXSpec="center" w:tblpY="67"/>
        <w:tblOverlap w:val="never"/>
        <w:tblW w:w="545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7"/>
        <w:gridCol w:w="1485"/>
        <w:gridCol w:w="3987"/>
        <w:gridCol w:w="811"/>
        <w:gridCol w:w="2227"/>
      </w:tblGrid>
      <w:tr w14:paraId="1EFD8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802" w:type="pct"/>
            <w:noWrap w:val="0"/>
            <w:vAlign w:val="center"/>
          </w:tcPr>
          <w:p w14:paraId="161C04BD">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档案类型</w:t>
            </w:r>
          </w:p>
        </w:tc>
        <w:tc>
          <w:tcPr>
            <w:tcW w:w="732" w:type="pct"/>
            <w:noWrap w:val="0"/>
            <w:vAlign w:val="center"/>
          </w:tcPr>
          <w:p w14:paraId="19BC077E">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项目内容</w:t>
            </w:r>
          </w:p>
        </w:tc>
        <w:tc>
          <w:tcPr>
            <w:tcW w:w="1966" w:type="pct"/>
            <w:noWrap w:val="0"/>
            <w:vAlign w:val="center"/>
          </w:tcPr>
          <w:p w14:paraId="77E40943">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具体要求</w:t>
            </w:r>
          </w:p>
        </w:tc>
        <w:tc>
          <w:tcPr>
            <w:tcW w:w="400" w:type="pct"/>
            <w:noWrap w:val="0"/>
            <w:vAlign w:val="center"/>
          </w:tcPr>
          <w:p w14:paraId="76AE2BA5">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单位</w:t>
            </w:r>
          </w:p>
        </w:tc>
        <w:tc>
          <w:tcPr>
            <w:tcW w:w="1098" w:type="pct"/>
            <w:noWrap w:val="0"/>
            <w:vAlign w:val="center"/>
          </w:tcPr>
          <w:p w14:paraId="71904004">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数量</w:t>
            </w:r>
          </w:p>
          <w:p w14:paraId="1E554DA0">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（预估，以实际为准）</w:t>
            </w:r>
          </w:p>
        </w:tc>
      </w:tr>
      <w:tr w14:paraId="48193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2" w:type="pct"/>
            <w:vMerge w:val="restart"/>
            <w:noWrap w:val="0"/>
            <w:vAlign w:val="center"/>
          </w:tcPr>
          <w:p w14:paraId="06C10347">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党群、行政、教学、照片等档案</w:t>
            </w:r>
          </w:p>
        </w:tc>
        <w:tc>
          <w:tcPr>
            <w:tcW w:w="732" w:type="pct"/>
            <w:noWrap w:val="0"/>
            <w:vAlign w:val="center"/>
          </w:tcPr>
          <w:p w14:paraId="01D4F394">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A4档案扫描</w:t>
            </w:r>
          </w:p>
        </w:tc>
        <w:tc>
          <w:tcPr>
            <w:tcW w:w="1966" w:type="pct"/>
            <w:noWrap w:val="0"/>
            <w:vAlign w:val="center"/>
          </w:tcPr>
          <w:p w14:paraId="0D8D5FC5">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扫描、修图、质检、图片格式转换、数据挂接、数据备份、档案还原、档案入库</w:t>
            </w:r>
          </w:p>
        </w:tc>
        <w:tc>
          <w:tcPr>
            <w:tcW w:w="400" w:type="pct"/>
            <w:noWrap w:val="0"/>
            <w:vAlign w:val="center"/>
          </w:tcPr>
          <w:p w14:paraId="1A4F3AD4">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页</w:t>
            </w:r>
          </w:p>
        </w:tc>
        <w:tc>
          <w:tcPr>
            <w:tcW w:w="1098" w:type="pct"/>
            <w:noWrap w:val="0"/>
            <w:vAlign w:val="center"/>
          </w:tcPr>
          <w:p w14:paraId="3665C27B">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700000</w:t>
            </w:r>
          </w:p>
        </w:tc>
      </w:tr>
      <w:tr w14:paraId="3DC05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802" w:type="pct"/>
            <w:vMerge w:val="continue"/>
            <w:noWrap w:val="0"/>
            <w:vAlign w:val="center"/>
          </w:tcPr>
          <w:p w14:paraId="6CD1C6B9">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Cs/>
                <w:color w:val="auto"/>
                <w:kern w:val="0"/>
                <w:sz w:val="21"/>
                <w:szCs w:val="21"/>
                <w:highlight w:val="none"/>
              </w:rPr>
            </w:pPr>
          </w:p>
        </w:tc>
        <w:tc>
          <w:tcPr>
            <w:tcW w:w="732" w:type="pct"/>
            <w:noWrap w:val="0"/>
            <w:vAlign w:val="center"/>
          </w:tcPr>
          <w:p w14:paraId="7FF86EA5">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著录</w:t>
            </w:r>
          </w:p>
        </w:tc>
        <w:tc>
          <w:tcPr>
            <w:tcW w:w="1966" w:type="pct"/>
            <w:noWrap w:val="0"/>
            <w:vAlign w:val="center"/>
          </w:tcPr>
          <w:p w14:paraId="21E41C74">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目录录入</w:t>
            </w:r>
          </w:p>
        </w:tc>
        <w:tc>
          <w:tcPr>
            <w:tcW w:w="400" w:type="pct"/>
            <w:noWrap w:val="0"/>
            <w:vAlign w:val="center"/>
          </w:tcPr>
          <w:p w14:paraId="73E14090">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条</w:t>
            </w:r>
          </w:p>
        </w:tc>
        <w:tc>
          <w:tcPr>
            <w:tcW w:w="1098" w:type="pct"/>
            <w:noWrap w:val="0"/>
            <w:vAlign w:val="center"/>
          </w:tcPr>
          <w:p w14:paraId="621A66CC">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200000</w:t>
            </w:r>
          </w:p>
        </w:tc>
      </w:tr>
      <w:tr w14:paraId="775F2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802" w:type="pct"/>
            <w:vMerge w:val="restart"/>
            <w:noWrap w:val="0"/>
            <w:vAlign w:val="center"/>
          </w:tcPr>
          <w:p w14:paraId="2A750CCA">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基建档案</w:t>
            </w:r>
          </w:p>
        </w:tc>
        <w:tc>
          <w:tcPr>
            <w:tcW w:w="732" w:type="pct"/>
            <w:noWrap w:val="0"/>
            <w:vAlign w:val="center"/>
          </w:tcPr>
          <w:p w14:paraId="0AD51C31">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整理</w:t>
            </w:r>
          </w:p>
        </w:tc>
        <w:tc>
          <w:tcPr>
            <w:tcW w:w="1966" w:type="pct"/>
            <w:noWrap w:val="0"/>
            <w:vAlign w:val="center"/>
          </w:tcPr>
          <w:p w14:paraId="6EF575A2">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排序、页码编写、目录打印、封面打印、装订、装盒、盒脊及封面打印</w:t>
            </w:r>
          </w:p>
        </w:tc>
        <w:tc>
          <w:tcPr>
            <w:tcW w:w="400" w:type="pct"/>
            <w:noWrap w:val="0"/>
            <w:vAlign w:val="center"/>
          </w:tcPr>
          <w:p w14:paraId="3C66EB04">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卷</w:t>
            </w:r>
          </w:p>
        </w:tc>
        <w:tc>
          <w:tcPr>
            <w:tcW w:w="1098" w:type="pct"/>
            <w:noWrap w:val="0"/>
            <w:vAlign w:val="center"/>
          </w:tcPr>
          <w:p w14:paraId="3C030105">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1500</w:t>
            </w:r>
          </w:p>
        </w:tc>
      </w:tr>
      <w:tr w14:paraId="168DD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802" w:type="pct"/>
            <w:vMerge w:val="continue"/>
            <w:noWrap w:val="0"/>
            <w:vAlign w:val="center"/>
          </w:tcPr>
          <w:p w14:paraId="25FC77ED">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Cs/>
                <w:color w:val="auto"/>
                <w:kern w:val="0"/>
                <w:sz w:val="21"/>
                <w:szCs w:val="21"/>
                <w:highlight w:val="none"/>
              </w:rPr>
            </w:pPr>
          </w:p>
        </w:tc>
        <w:tc>
          <w:tcPr>
            <w:tcW w:w="732" w:type="pct"/>
            <w:noWrap w:val="0"/>
            <w:vAlign w:val="center"/>
          </w:tcPr>
          <w:p w14:paraId="514B4769">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A4档案扫描</w:t>
            </w:r>
          </w:p>
        </w:tc>
        <w:tc>
          <w:tcPr>
            <w:tcW w:w="1966" w:type="pct"/>
            <w:noWrap w:val="0"/>
            <w:vAlign w:val="center"/>
          </w:tcPr>
          <w:p w14:paraId="6F3FFA75">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扫描、修图、质检、图片格式转换、数据挂接、数据备份、档案入库</w:t>
            </w:r>
          </w:p>
        </w:tc>
        <w:tc>
          <w:tcPr>
            <w:tcW w:w="400" w:type="pct"/>
            <w:noWrap w:val="0"/>
            <w:vAlign w:val="center"/>
          </w:tcPr>
          <w:p w14:paraId="2B7E63F1">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页</w:t>
            </w:r>
          </w:p>
        </w:tc>
        <w:tc>
          <w:tcPr>
            <w:tcW w:w="1098" w:type="pct"/>
            <w:noWrap w:val="0"/>
            <w:vAlign w:val="center"/>
          </w:tcPr>
          <w:p w14:paraId="713D99FA">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120000</w:t>
            </w:r>
          </w:p>
        </w:tc>
      </w:tr>
      <w:tr w14:paraId="19E28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802" w:type="pct"/>
            <w:vMerge w:val="continue"/>
            <w:noWrap w:val="0"/>
            <w:vAlign w:val="center"/>
          </w:tcPr>
          <w:p w14:paraId="249B3447">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Cs/>
                <w:color w:val="auto"/>
                <w:kern w:val="0"/>
                <w:sz w:val="21"/>
                <w:szCs w:val="21"/>
                <w:highlight w:val="none"/>
              </w:rPr>
            </w:pPr>
          </w:p>
        </w:tc>
        <w:tc>
          <w:tcPr>
            <w:tcW w:w="732" w:type="pct"/>
            <w:noWrap w:val="0"/>
            <w:vAlign w:val="center"/>
          </w:tcPr>
          <w:p w14:paraId="5E6313A2">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图纸扫描</w:t>
            </w:r>
          </w:p>
        </w:tc>
        <w:tc>
          <w:tcPr>
            <w:tcW w:w="1966" w:type="pct"/>
            <w:noWrap w:val="0"/>
            <w:vAlign w:val="center"/>
          </w:tcPr>
          <w:p w14:paraId="199E38BA">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扫描、修图、质检、图片格式转换、数据挂接、数据备份、档案入库</w:t>
            </w:r>
          </w:p>
        </w:tc>
        <w:tc>
          <w:tcPr>
            <w:tcW w:w="400" w:type="pct"/>
            <w:noWrap w:val="0"/>
            <w:vAlign w:val="center"/>
          </w:tcPr>
          <w:p w14:paraId="144BEF36">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页</w:t>
            </w:r>
          </w:p>
        </w:tc>
        <w:tc>
          <w:tcPr>
            <w:tcW w:w="1098" w:type="pct"/>
            <w:noWrap w:val="0"/>
            <w:vAlign w:val="center"/>
          </w:tcPr>
          <w:p w14:paraId="7045F816">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8000</w:t>
            </w:r>
          </w:p>
        </w:tc>
      </w:tr>
      <w:tr w14:paraId="46F89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802" w:type="pct"/>
            <w:vMerge w:val="continue"/>
            <w:noWrap w:val="0"/>
            <w:vAlign w:val="center"/>
          </w:tcPr>
          <w:p w14:paraId="699A7784">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Cs/>
                <w:color w:val="auto"/>
                <w:kern w:val="0"/>
                <w:sz w:val="21"/>
                <w:szCs w:val="21"/>
                <w:highlight w:val="none"/>
              </w:rPr>
            </w:pPr>
          </w:p>
        </w:tc>
        <w:tc>
          <w:tcPr>
            <w:tcW w:w="732" w:type="pct"/>
            <w:noWrap w:val="0"/>
            <w:vAlign w:val="center"/>
          </w:tcPr>
          <w:p w14:paraId="59D9D393">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图纸折叠</w:t>
            </w:r>
          </w:p>
        </w:tc>
        <w:tc>
          <w:tcPr>
            <w:tcW w:w="1966" w:type="pct"/>
            <w:noWrap w:val="0"/>
            <w:vAlign w:val="center"/>
          </w:tcPr>
          <w:p w14:paraId="20C1516C">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依照图纸折叠规范，折叠成A4大小</w:t>
            </w:r>
          </w:p>
        </w:tc>
        <w:tc>
          <w:tcPr>
            <w:tcW w:w="400" w:type="pct"/>
            <w:noWrap w:val="0"/>
            <w:vAlign w:val="center"/>
          </w:tcPr>
          <w:p w14:paraId="28EB10D9">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张</w:t>
            </w:r>
          </w:p>
        </w:tc>
        <w:tc>
          <w:tcPr>
            <w:tcW w:w="1098" w:type="pct"/>
            <w:noWrap w:val="0"/>
            <w:vAlign w:val="center"/>
          </w:tcPr>
          <w:p w14:paraId="62CA72E5">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8000</w:t>
            </w:r>
          </w:p>
        </w:tc>
      </w:tr>
      <w:tr w14:paraId="0FEB5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02" w:type="pct"/>
            <w:vMerge w:val="continue"/>
            <w:noWrap w:val="0"/>
            <w:vAlign w:val="center"/>
          </w:tcPr>
          <w:p w14:paraId="06C8AB57">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Cs/>
                <w:color w:val="auto"/>
                <w:kern w:val="0"/>
                <w:sz w:val="21"/>
                <w:szCs w:val="21"/>
                <w:highlight w:val="none"/>
              </w:rPr>
            </w:pPr>
          </w:p>
        </w:tc>
        <w:tc>
          <w:tcPr>
            <w:tcW w:w="732" w:type="pct"/>
            <w:noWrap w:val="0"/>
            <w:vAlign w:val="center"/>
          </w:tcPr>
          <w:p w14:paraId="4A274262">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著录</w:t>
            </w:r>
          </w:p>
        </w:tc>
        <w:tc>
          <w:tcPr>
            <w:tcW w:w="1966" w:type="pct"/>
            <w:noWrap w:val="0"/>
            <w:vAlign w:val="center"/>
          </w:tcPr>
          <w:p w14:paraId="58C26609">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目录录入</w:t>
            </w:r>
          </w:p>
        </w:tc>
        <w:tc>
          <w:tcPr>
            <w:tcW w:w="400" w:type="pct"/>
            <w:noWrap w:val="0"/>
            <w:vAlign w:val="center"/>
          </w:tcPr>
          <w:p w14:paraId="429FB525">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条</w:t>
            </w:r>
          </w:p>
        </w:tc>
        <w:tc>
          <w:tcPr>
            <w:tcW w:w="1098" w:type="pct"/>
            <w:noWrap w:val="0"/>
            <w:vAlign w:val="center"/>
          </w:tcPr>
          <w:p w14:paraId="64909D18">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15000</w:t>
            </w:r>
          </w:p>
        </w:tc>
      </w:tr>
      <w:tr w14:paraId="6F44D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802" w:type="pct"/>
            <w:vMerge w:val="continue"/>
            <w:noWrap w:val="0"/>
            <w:vAlign w:val="center"/>
          </w:tcPr>
          <w:p w14:paraId="096E209A">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Cs/>
                <w:color w:val="auto"/>
                <w:kern w:val="0"/>
                <w:sz w:val="21"/>
                <w:szCs w:val="21"/>
                <w:highlight w:val="none"/>
              </w:rPr>
            </w:pPr>
          </w:p>
        </w:tc>
        <w:tc>
          <w:tcPr>
            <w:tcW w:w="732" w:type="pct"/>
            <w:noWrap w:val="0"/>
            <w:vAlign w:val="center"/>
          </w:tcPr>
          <w:p w14:paraId="4FB0F511">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档案盒</w:t>
            </w:r>
          </w:p>
        </w:tc>
        <w:tc>
          <w:tcPr>
            <w:tcW w:w="1966" w:type="pct"/>
            <w:noWrap w:val="0"/>
            <w:vAlign w:val="center"/>
          </w:tcPr>
          <w:p w14:paraId="61BFCCDA">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无酸牛皮纸（签订合同前提供第三方检测机构出具的该批次产品具有CMA或CNAS标识的检测报告）</w:t>
            </w:r>
          </w:p>
        </w:tc>
        <w:tc>
          <w:tcPr>
            <w:tcW w:w="400" w:type="pct"/>
            <w:noWrap w:val="0"/>
            <w:vAlign w:val="center"/>
          </w:tcPr>
          <w:p w14:paraId="75CA01E9">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个</w:t>
            </w:r>
          </w:p>
        </w:tc>
        <w:tc>
          <w:tcPr>
            <w:tcW w:w="1098" w:type="pct"/>
            <w:noWrap w:val="0"/>
            <w:vAlign w:val="center"/>
          </w:tcPr>
          <w:p w14:paraId="06C629B1">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3000</w:t>
            </w:r>
          </w:p>
        </w:tc>
      </w:tr>
    </w:tbl>
    <w:p w14:paraId="77049FA5">
      <w:pPr>
        <w:keepNext w:val="0"/>
        <w:keepLines w:val="0"/>
        <w:pageBreakBefore w:val="0"/>
        <w:widowControl w:val="0"/>
        <w:kinsoku/>
        <w:wordWrap/>
        <w:overflowPunct/>
        <w:topLinePunct w:val="0"/>
        <w:autoSpaceDE/>
        <w:autoSpaceDN/>
        <w:bidi w:val="0"/>
        <w:adjustRightInd/>
        <w:snapToGrid/>
        <w:spacing w:line="44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二、技术规格要求</w:t>
      </w:r>
    </w:p>
    <w:p w14:paraId="14F67412">
      <w:pPr>
        <w:keepNext w:val="0"/>
        <w:keepLines w:val="0"/>
        <w:pageBreakBefore w:val="0"/>
        <w:widowControl w:val="0"/>
        <w:kinsoku/>
        <w:wordWrap/>
        <w:overflowPunct/>
        <w:topLinePunct w:val="0"/>
        <w:autoSpaceDE/>
        <w:autoSpaceDN/>
        <w:bidi w:val="0"/>
        <w:adjustRightInd/>
        <w:snapToGrid/>
        <w:spacing w:line="44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（一）技术标准及规范</w:t>
      </w:r>
    </w:p>
    <w:p w14:paraId="27C91EFD">
      <w:pPr>
        <w:keepNext w:val="0"/>
        <w:keepLines w:val="0"/>
        <w:pageBreakBefore w:val="0"/>
        <w:widowControl w:val="0"/>
        <w:kinsoku/>
        <w:wordWrap/>
        <w:overflowPunct/>
        <w:topLinePunct w:val="0"/>
        <w:autoSpaceDE/>
        <w:autoSpaceDN/>
        <w:bidi w:val="0"/>
        <w:adjustRightInd/>
        <w:snapToGrid/>
        <w:spacing w:line="44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1.安全性标准规范</w:t>
      </w:r>
    </w:p>
    <w:p w14:paraId="7024B51E">
      <w:pPr>
        <w:keepNext w:val="0"/>
        <w:keepLines w:val="0"/>
        <w:pageBreakBefore w:val="0"/>
        <w:widowControl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（1）《计算机信息网络国际联网保密管理规定》，国家保密局发布；</w:t>
      </w:r>
    </w:p>
    <w:p w14:paraId="18CFCA92">
      <w:pPr>
        <w:keepNext w:val="0"/>
        <w:keepLines w:val="0"/>
        <w:pageBreakBefore w:val="0"/>
        <w:widowControl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（2）《中华人民共和国计算机信息网络国际联网管理暂行规定》，中华人民共和国国务院令第195号；</w:t>
      </w:r>
    </w:p>
    <w:p w14:paraId="6F785DB6">
      <w:pPr>
        <w:keepNext w:val="0"/>
        <w:keepLines w:val="0"/>
        <w:pageBreakBefore w:val="0"/>
        <w:widowControl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（3）《计算机病毒防治管理办法》，中华人民共和国公安部令第51号；</w:t>
      </w:r>
    </w:p>
    <w:p w14:paraId="7A4E72B5">
      <w:pPr>
        <w:keepNext w:val="0"/>
        <w:keepLines w:val="0"/>
        <w:pageBreakBefore w:val="0"/>
        <w:widowControl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（4）OAIS：ISO(国际标准化组织)推荐的OAIS(开放档案信息系统)参考模型。</w:t>
      </w:r>
    </w:p>
    <w:p w14:paraId="032AD9CC">
      <w:pPr>
        <w:keepNext w:val="0"/>
        <w:keepLines w:val="0"/>
        <w:pageBreakBefore w:val="0"/>
        <w:widowControl w:val="0"/>
        <w:kinsoku/>
        <w:wordWrap/>
        <w:overflowPunct/>
        <w:topLinePunct w:val="0"/>
        <w:autoSpaceDE/>
        <w:autoSpaceDN/>
        <w:bidi w:val="0"/>
        <w:adjustRightInd/>
        <w:snapToGrid/>
        <w:spacing w:line="44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2.业务性标准规范</w:t>
      </w:r>
    </w:p>
    <w:p w14:paraId="7D0889D3">
      <w:pPr>
        <w:keepNext w:val="0"/>
        <w:keepLines w:val="0"/>
        <w:pageBreakBefore w:val="0"/>
        <w:widowControl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（1）《安徽省机关档案工作目标管理考核办法》；</w:t>
      </w:r>
    </w:p>
    <w:p w14:paraId="14297C86">
      <w:pPr>
        <w:keepNext w:val="0"/>
        <w:keepLines w:val="0"/>
        <w:pageBreakBefore w:val="0"/>
        <w:widowControl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（2）《中华人民共和国档案法》；</w:t>
      </w:r>
    </w:p>
    <w:p w14:paraId="658A211A">
      <w:pPr>
        <w:keepNext w:val="0"/>
        <w:keepLines w:val="0"/>
        <w:pageBreakBefore w:val="0"/>
        <w:widowControl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国家档案局《CAD电子文件光盘存储、归档与档案管理要求》</w:t>
      </w:r>
    </w:p>
    <w:p w14:paraId="512FE95C">
      <w:pPr>
        <w:keepNext w:val="0"/>
        <w:keepLines w:val="0"/>
        <w:pageBreakBefore w:val="0"/>
        <w:widowControl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 17678.1-1999；</w:t>
      </w:r>
    </w:p>
    <w:p w14:paraId="3526E4A2">
      <w:pPr>
        <w:keepNext w:val="0"/>
        <w:keepLines w:val="0"/>
        <w:pageBreakBefore w:val="0"/>
        <w:widowControl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（4）《归档文件整理规则》中华人民共和国档案行业标准</w:t>
      </w:r>
    </w:p>
    <w:p w14:paraId="0AF48984">
      <w:pPr>
        <w:keepNext w:val="0"/>
        <w:keepLines w:val="0"/>
        <w:pageBreakBefore w:val="0"/>
        <w:widowControl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DA/T22-2015；</w:t>
      </w:r>
    </w:p>
    <w:p w14:paraId="1E9DD93F">
      <w:pPr>
        <w:keepNext w:val="0"/>
        <w:keepLines w:val="0"/>
        <w:pageBreakBefore w:val="0"/>
        <w:widowControl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（5）《档案著录规则》DAT 18-2022；</w:t>
      </w:r>
    </w:p>
    <w:p w14:paraId="0223D064">
      <w:pPr>
        <w:keepNext w:val="0"/>
        <w:keepLines w:val="0"/>
        <w:pageBreakBefore w:val="0"/>
        <w:widowControl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（6）《电子公文归档管理暂行办法》；</w:t>
      </w:r>
    </w:p>
    <w:p w14:paraId="6345AD96">
      <w:pPr>
        <w:keepNext w:val="0"/>
        <w:keepLines w:val="0"/>
        <w:pageBreakBefore w:val="0"/>
        <w:widowControl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（7）《纸质档案数字化规范》DA/T31-2017；</w:t>
      </w:r>
    </w:p>
    <w:p w14:paraId="1C70F955">
      <w:pPr>
        <w:keepNext w:val="0"/>
        <w:keepLines w:val="0"/>
        <w:pageBreakBefore w:val="0"/>
        <w:widowControl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（8）《机关文件材料归档范围和文书档案保管期限规定》国家档案局令第八号。</w:t>
      </w:r>
    </w:p>
    <w:p w14:paraId="6B5D4210">
      <w:pPr>
        <w:keepNext w:val="0"/>
        <w:keepLines w:val="0"/>
        <w:pageBreakBefore w:val="0"/>
        <w:widowControl w:val="0"/>
        <w:kinsoku/>
        <w:wordWrap/>
        <w:overflowPunct/>
        <w:topLinePunct w:val="0"/>
        <w:autoSpaceDE/>
        <w:autoSpaceDN/>
        <w:bidi w:val="0"/>
        <w:adjustRightInd/>
        <w:snapToGrid/>
        <w:spacing w:line="44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（二）基建档案整理要求</w:t>
      </w:r>
    </w:p>
    <w:p w14:paraId="566AA2D6">
      <w:pPr>
        <w:keepNext w:val="0"/>
        <w:keepLines w:val="0"/>
        <w:pageBreakBefore w:val="0"/>
        <w:widowControl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1.根据各类基建档案整理规范，设计合理的档案整理工作流程图。</w:t>
      </w:r>
    </w:p>
    <w:p w14:paraId="494989A9">
      <w:pPr>
        <w:keepNext w:val="0"/>
        <w:keepLines w:val="0"/>
        <w:pageBreakBefore w:val="0"/>
        <w:widowControl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2.基建档案材料的整理工作具体包含拆去除金属物如订书针、核对档案实体是否齐全完整、编制页码、盖档号章、打印卷内目录、装订成盒等。</w:t>
      </w:r>
    </w:p>
    <w:p w14:paraId="1678A313">
      <w:pPr>
        <w:keepNext w:val="0"/>
        <w:keepLines w:val="0"/>
        <w:pageBreakBefore w:val="0"/>
        <w:widowControl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3.档案案卷由封面、卷内目录、文件材料、备考表组成，按具体整理规则进行文件检查、排序、整理和装订。不规范纸张和图纸按规范处理和折叠。</w:t>
      </w:r>
    </w:p>
    <w:p w14:paraId="50E9C0FC">
      <w:pPr>
        <w:keepNext w:val="0"/>
        <w:keepLines w:val="0"/>
        <w:pageBreakBefore w:val="0"/>
        <w:widowControl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4.档案整理分类合理，案卷厚度一般控制在2-3厘米。</w:t>
      </w:r>
    </w:p>
    <w:p w14:paraId="6CA71AA3">
      <w:pPr>
        <w:keepNext w:val="0"/>
        <w:keepLines w:val="0"/>
        <w:pageBreakBefore w:val="0"/>
        <w:widowControl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5.档号章一般盖在归档文件的首页上端空白处，如文件首页确无盖章位置或重要文件须保持原貌的按甲方要求加盖档号章。</w:t>
      </w:r>
    </w:p>
    <w:p w14:paraId="7B25C8DA">
      <w:pPr>
        <w:keepNext w:val="0"/>
        <w:keepLines w:val="0"/>
        <w:pageBreakBefore w:val="0"/>
        <w:widowControl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6.归档档案案卷必须平整、整齐、美观、卷内图纸折叠规范，装订牢固，不影响借阅利用。</w:t>
      </w:r>
    </w:p>
    <w:p w14:paraId="510F83A2">
      <w:pPr>
        <w:keepNext w:val="0"/>
        <w:keepLines w:val="0"/>
        <w:pageBreakBefore w:val="0"/>
        <w:widowControl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7.编制、打印档案盒封面信息和档案盒盒脊标签。</w:t>
      </w:r>
    </w:p>
    <w:p w14:paraId="2869844C">
      <w:pPr>
        <w:keepNext w:val="0"/>
        <w:keepLines w:val="0"/>
        <w:pageBreakBefore w:val="0"/>
        <w:widowControl w:val="0"/>
        <w:kinsoku/>
        <w:wordWrap/>
        <w:overflowPunct/>
        <w:topLinePunct w:val="0"/>
        <w:autoSpaceDE/>
        <w:autoSpaceDN/>
        <w:bidi w:val="0"/>
        <w:adjustRightInd/>
        <w:snapToGrid/>
        <w:spacing w:line="440" w:lineRule="exact"/>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8.档案盒由供应商提供，符合《无酸档案卷皮卷盒用纸及纸板》（DA/T 24-2000）相关标准要求，按采购方要求设计，并提供该批次产品的检测报告。</w:t>
      </w:r>
    </w:p>
    <w:p w14:paraId="082C8C55">
      <w:pPr>
        <w:keepNext w:val="0"/>
        <w:keepLines w:val="0"/>
        <w:pageBreakBefore w:val="0"/>
        <w:widowControl w:val="0"/>
        <w:kinsoku/>
        <w:wordWrap/>
        <w:overflowPunct/>
        <w:topLinePunct w:val="0"/>
        <w:autoSpaceDE/>
        <w:autoSpaceDN/>
        <w:bidi w:val="0"/>
        <w:adjustRightInd/>
        <w:snapToGrid/>
        <w:spacing w:line="44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（三）档案数字化加工服务要求</w:t>
      </w:r>
    </w:p>
    <w:p w14:paraId="40BB72D7">
      <w:pPr>
        <w:keepNext w:val="0"/>
        <w:keepLines w:val="0"/>
        <w:pageBreakBefore w:val="0"/>
        <w:widowControl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工作环节主要包括：目录录入、扫描前处理、档案扫描、图像处理、图像质检、图像存储、数据挂接、档案还原、数据质检、档案入库、数据备份等工作，在整个实施过程中要确保档案实体及信息的安全保密。</w:t>
      </w:r>
    </w:p>
    <w:p w14:paraId="1D7699CE">
      <w:pPr>
        <w:keepNext w:val="0"/>
        <w:keepLines w:val="0"/>
        <w:pageBreakBefore w:val="0"/>
        <w:widowControl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目录录入：要求根据档案实体对电子目录进行逐条录入，录入完成后进行核对，发现有缺少或不完整的电子目录及时进行补录和完善，确保实体档案与目录的一一对应。重点检查档号（包括各组成部分）、题名、保管期限、成文日期、责任者、密级等必录项的内容是否完整、准确、规范。</w:t>
      </w:r>
    </w:p>
    <w:p w14:paraId="41149D54">
      <w:pPr>
        <w:keepNext w:val="0"/>
        <w:keepLines w:val="0"/>
        <w:pageBreakBefore w:val="0"/>
        <w:widowControl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单位需根据采购人目录数据库录入的要求进行目录数据录入，要求目录与档案原件目录一致、准确、完整。目录录入关键字段（题名、文号、责任者、日期、保管期限、页数等）准确率应为100%，在录入的过程中如有不清楚的地方，可咨询采购人档案管理人员，相互配合完成。对于某些特定档案，如人员名册等，需根据采购人要求，逐页逐人进行目录录入，便于后期档案的查询利用。</w:t>
      </w:r>
    </w:p>
    <w:p w14:paraId="5A1B434D">
      <w:pPr>
        <w:keepNext w:val="0"/>
        <w:keepLines w:val="0"/>
        <w:pageBreakBefore w:val="0"/>
        <w:widowControl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3.扫描前处理</w:t>
      </w:r>
    </w:p>
    <w:p w14:paraId="3861C77C">
      <w:pPr>
        <w:keepNext w:val="0"/>
        <w:keepLines w:val="0"/>
        <w:pageBreakBefore w:val="0"/>
        <w:widowControl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清点核对：逐卷、逐件、逐页核对档案的排序、数量、编号等，清点档案页数，并在目录中添加每件应扫描页数，对于原页码错编或漏编的档案，需根据档案实体的情况重新编写页号，并根据更正后的页号打印新的卷内目录以替换原有的卷内目录；</w:t>
      </w:r>
    </w:p>
    <w:p w14:paraId="26438587">
      <w:pPr>
        <w:keepNext w:val="0"/>
        <w:keepLines w:val="0"/>
        <w:pageBreakBefore w:val="0"/>
        <w:widowControl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（2）清除档案积尘：对粉尘进行处理，对霉变档案进行去霉处理；</w:t>
      </w:r>
    </w:p>
    <w:p w14:paraId="74BDD119">
      <w:pPr>
        <w:keepNext w:val="0"/>
        <w:keepLines w:val="0"/>
        <w:pageBreakBefore w:val="0"/>
        <w:widowControl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（3）档案修补展平：对开裂档案进行简易修补，对褶皱档案进行展平处理，并在案卷备考表中添加档案原件修复处理信息。</w:t>
      </w:r>
    </w:p>
    <w:p w14:paraId="3BA0DD06">
      <w:pPr>
        <w:keepNext w:val="0"/>
        <w:keepLines w:val="0"/>
        <w:pageBreakBefore w:val="0"/>
        <w:widowControl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档案扫描：按照《纸质档案数字化规范》（DA/T31—2017）标准，采用专业文件扫描仪、A0大幅面扫描仪、照片扫描仪相互配合进行扫描加工，不得采取拼接的方法。在扫描过程中，不得对档案原件造成破坏，确保档案扫描图像与原件一致、整洁、清晰；对纸张脆化、较古老、超薄的和不可拆卷的档案需要采用专业不拆卷非接触冷光源扫描仪进行扫描，不得涂改和损坏原始档案。</w:t>
      </w:r>
    </w:p>
    <w:p w14:paraId="28C299B2">
      <w:pPr>
        <w:keepNext w:val="0"/>
        <w:keepLines w:val="0"/>
        <w:pageBreakBefore w:val="0"/>
        <w:widowControl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5.图像处理</w:t>
      </w:r>
    </w:p>
    <w:p w14:paraId="51DF62BF">
      <w:pPr>
        <w:keepNext w:val="0"/>
        <w:keepLines w:val="0"/>
        <w:pageBreakBefore w:val="0"/>
        <w:widowControl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图像处理后保证图像信息与原档案内容完全一致，不漏扫页面任何有用信息，包括正文内容、页眉、页脚、手写注释和印鉴等。扫描的页面内容要求居中显示，不出现明显偏左或偏右现象。绝对不准出现页面内容残缺或将其它页面信息扫入本页的现象。</w:t>
      </w:r>
    </w:p>
    <w:p w14:paraId="188B4C64">
      <w:pPr>
        <w:keepNext w:val="0"/>
        <w:keepLines w:val="0"/>
        <w:pageBreakBefore w:val="0"/>
        <w:widowControl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（2）每页影像左右端正度控制在0.5度以内，视觉上基本无偏差。对方向不正确的图像进行旋转还原，以符合阅读习惯。</w:t>
      </w:r>
    </w:p>
    <w:p w14:paraId="7359D8CA">
      <w:pPr>
        <w:keepNext w:val="0"/>
        <w:keepLines w:val="0"/>
        <w:pageBreakBefore w:val="0"/>
        <w:widowControl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去污：在保证文件内容完整的前提下，影像页无扫描过程中带来的污斑，无黑边，外观达到清晰、平直、干净。对图像页面中出现的影响图像质量的杂质，如黑点、黑线、黑框、黑边等进行去污处理。处理过程中应遵循在不影响可读性和可理解性的前提下展现档案原貌的原则，由于档案本身因陈旧、破损或不洁等造成页面上有污点的，如果在页面视图下无法看清，或该污点嵌在文本行中无法清除，可不予清除。</w:t>
      </w:r>
    </w:p>
    <w:p w14:paraId="0DFF5F19">
      <w:pPr>
        <w:keepNext w:val="0"/>
        <w:keepLines w:val="0"/>
        <w:pageBreakBefore w:val="0"/>
        <w:widowControl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保证扫描图像字迹清晰、颜色恰当，不宜过浅或过深，不出现字迹笔画残缺或字迹笔画叠合而影响阅读的情况，档案原件如果存在斑迹变质、颜色过浅、过深或深浅不一致，保证档案原件能辨认的扫描图像也必须可以辨认。</w:t>
      </w:r>
    </w:p>
    <w:p w14:paraId="73724A05">
      <w:pPr>
        <w:keepNext w:val="0"/>
        <w:keepLines w:val="0"/>
        <w:pageBreakBefore w:val="0"/>
        <w:widowControl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（5）纸张太薄或字体颜色过浓，扫描时倒映反面文字，文字上的污点无法去污时，保证正文文字可以看清楚。</w:t>
      </w:r>
    </w:p>
    <w:p w14:paraId="5716B4AC">
      <w:pPr>
        <w:keepNext w:val="0"/>
        <w:keepLines w:val="0"/>
        <w:pageBreakBefore w:val="0"/>
        <w:widowControl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6.图像质检：必须逐件、逐页检查扫描文件。</w:t>
      </w:r>
    </w:p>
    <w:p w14:paraId="466592D4">
      <w:pPr>
        <w:keepNext w:val="0"/>
        <w:keepLines w:val="0"/>
        <w:pageBreakBefore w:val="0"/>
        <w:widowControl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（1）检查图像的完整性、偏斜度、清晰度、失真度、图像畸变等；</w:t>
      </w:r>
    </w:p>
    <w:p w14:paraId="19218843">
      <w:pPr>
        <w:keepNext w:val="0"/>
        <w:keepLines w:val="0"/>
        <w:pageBreakBefore w:val="0"/>
        <w:widowControl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（2）检查档案漏扫、多扫等情况；</w:t>
      </w:r>
    </w:p>
    <w:p w14:paraId="2BE12DF6">
      <w:pPr>
        <w:keepNext w:val="0"/>
        <w:keepLines w:val="0"/>
        <w:pageBreakBefore w:val="0"/>
        <w:widowControl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（3）检查图像文件排列顺序与档案原件是否一致；</w:t>
      </w:r>
    </w:p>
    <w:p w14:paraId="588C7A29">
      <w:pPr>
        <w:keepNext w:val="0"/>
        <w:keepLines w:val="0"/>
        <w:pageBreakBefore w:val="0"/>
        <w:widowControl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（4）检查图像文件命名是否规范；</w:t>
      </w:r>
    </w:p>
    <w:p w14:paraId="66692AA0">
      <w:pPr>
        <w:keepNext w:val="0"/>
        <w:keepLines w:val="0"/>
        <w:pageBreakBefore w:val="0"/>
        <w:widowControl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（5）检查图像数据与实际目录信息是否相符；</w:t>
      </w:r>
    </w:p>
    <w:p w14:paraId="3CEEC257">
      <w:pPr>
        <w:keepNext w:val="0"/>
        <w:keepLines w:val="0"/>
        <w:pageBreakBefore w:val="0"/>
        <w:widowControl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（6）根据质检情况填写质检记录单，跟踪并监督质检记录单的处理情况。</w:t>
      </w:r>
    </w:p>
    <w:p w14:paraId="0837E273">
      <w:pPr>
        <w:keepNext w:val="0"/>
        <w:keepLines w:val="0"/>
        <w:pageBreakBefore w:val="0"/>
        <w:widowControl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7.图像存储命名：图像文件命名以采购人需求为准。</w:t>
      </w:r>
    </w:p>
    <w:p w14:paraId="39CF0DD4">
      <w:pPr>
        <w:keepNext w:val="0"/>
        <w:keepLines w:val="0"/>
        <w:pageBreakBefore w:val="0"/>
        <w:widowControl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数据挂接：数字化加工过程中形成的图像数据，通过影像质检确认“合格”后，以纸质档案目录数据库为依据，将每一份纸质档案文件扫描所得的一个或多个图像存储为一份图像文件。使用专门程序或软件，通过每一份图像文件的文件名与档案目录数据库中该份文件的档号的一致性和唯一性，建立起一一对应的关联关系，以实现档案目录数据库与图像文件的批量挂接。保证目录数据库与图像文件的一一对应关系，不得错挂、漏挂，确保挂接准确率达到100%。</w:t>
      </w:r>
    </w:p>
    <w:p w14:paraId="5308EC17">
      <w:pPr>
        <w:keepNext w:val="0"/>
        <w:keepLines w:val="0"/>
        <w:pageBreakBefore w:val="0"/>
        <w:widowControl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9.档案还原</w:t>
      </w:r>
    </w:p>
    <w:p w14:paraId="28ABCC93">
      <w:pPr>
        <w:keepNext w:val="0"/>
        <w:keepLines w:val="0"/>
        <w:pageBreakBefore w:val="0"/>
        <w:widowControl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（1）认真核对档案页码总数是否正确，核对文件排列顺序是否正确，发现错误的地方及时纠正，不能处理的上报管理人员；</w:t>
      </w:r>
    </w:p>
    <w:p w14:paraId="2F9E76B7">
      <w:pPr>
        <w:keepNext w:val="0"/>
        <w:keepLines w:val="0"/>
        <w:pageBreakBefore w:val="0"/>
        <w:widowControl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（2）经核对无误的档案，以文件左边沿和下边（底边）沿为准，依次整理整齐，夹上卷封装订成册；</w:t>
      </w:r>
    </w:p>
    <w:p w14:paraId="0A2E94AA">
      <w:pPr>
        <w:keepNext w:val="0"/>
        <w:keepLines w:val="0"/>
        <w:pageBreakBefore w:val="0"/>
        <w:widowControl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（3）对原来已打孔装订的档案，在装订时尽可能利用原孔装订，不能按原孔而需重新打孔的档案，打孔时严格按照规定沿档案文件左边适当处打孔，确保三点一线，既不漏页也不损害文件字符；</w:t>
      </w:r>
    </w:p>
    <w:p w14:paraId="6F86EE51">
      <w:pPr>
        <w:keepNext w:val="0"/>
        <w:keepLines w:val="0"/>
        <w:pageBreakBefore w:val="0"/>
        <w:widowControl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（4）系线时要按照标准方法操作，线不可太长或太短，系线松紧适度；</w:t>
      </w:r>
    </w:p>
    <w:p w14:paraId="41C5B28F">
      <w:pPr>
        <w:keepNext w:val="0"/>
        <w:keepLines w:val="0"/>
        <w:pageBreakBefore w:val="0"/>
        <w:widowControl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（5）装订成册的档案必须保证每页都装订成功，不可有漏装掉页情况出现。</w:t>
      </w:r>
    </w:p>
    <w:p w14:paraId="59F2F9CF">
      <w:pPr>
        <w:keepNext w:val="0"/>
        <w:keepLines w:val="0"/>
        <w:pageBreakBefore w:val="0"/>
        <w:widowControl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10.数据质检：为保证项目的总体实施质量，要求加工方对数字化各环节进行全面检查，具体质检目标如下：</w:t>
      </w:r>
    </w:p>
    <w:p w14:paraId="32F46951">
      <w:pPr>
        <w:keepNext w:val="0"/>
        <w:keepLines w:val="0"/>
        <w:pageBreakBefore w:val="0"/>
        <w:widowControl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（1）档案装订：检查所有档案的装订还原情况，差错率控制在万分之二以内。</w:t>
      </w:r>
    </w:p>
    <w:p w14:paraId="324B65CF">
      <w:pPr>
        <w:keepNext w:val="0"/>
        <w:keepLines w:val="0"/>
        <w:pageBreakBefore w:val="0"/>
        <w:widowControl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（2）扫描图像检查：漏扫率控制为零。</w:t>
      </w:r>
    </w:p>
    <w:p w14:paraId="7BB93C6D">
      <w:pPr>
        <w:keepNext w:val="0"/>
        <w:keepLines w:val="0"/>
        <w:pageBreakBefore w:val="0"/>
        <w:widowControl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（3）图像质量检查：检查所有图像的质量情况，优质率达到99%以上。</w:t>
      </w:r>
    </w:p>
    <w:p w14:paraId="706E7068">
      <w:pPr>
        <w:keepNext w:val="0"/>
        <w:keepLines w:val="0"/>
        <w:pageBreakBefore w:val="0"/>
        <w:widowControl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（4）目录核对：以案卷（文件）为单位，关键字段正确率100%，其余字段录入错误率≤1‰。</w:t>
      </w:r>
    </w:p>
    <w:p w14:paraId="54F542F1">
      <w:pPr>
        <w:keepNext w:val="0"/>
        <w:keepLines w:val="0"/>
        <w:pageBreakBefore w:val="0"/>
        <w:widowControl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（5）条目与图像挂接检查：确保挂接正确率达到100%。</w:t>
      </w:r>
    </w:p>
    <w:p w14:paraId="3A44F504">
      <w:pPr>
        <w:keepNext w:val="0"/>
        <w:keepLines w:val="0"/>
        <w:pageBreakBefore w:val="0"/>
        <w:widowControl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（6）档案原始材料：确保100%不缺失。</w:t>
      </w:r>
    </w:p>
    <w:p w14:paraId="1ABE7B96">
      <w:pPr>
        <w:keepNext w:val="0"/>
        <w:keepLines w:val="0"/>
        <w:pageBreakBefore w:val="0"/>
        <w:widowControl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11.档案入库：质检完成后要及时归还档案。供应商要保持档案原件的排列顺序，不缺少、不缺漏档案原件，保证档案原件完好完整，与采购人项目管理人员办理书面归还手续，档案清点合格率达100%。</w:t>
      </w:r>
    </w:p>
    <w:p w14:paraId="0EF08C49">
      <w:pPr>
        <w:keepNext w:val="0"/>
        <w:keepLines w:val="0"/>
        <w:pageBreakBefore w:val="0"/>
        <w:widowControl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数据备份：是指将扫描图像及PDF文件记录成光盘（档案级光盘，符合档案国标）、移动硬盘，离线备份。数据验收合格后，供应商须将档案级光盘（一式三份）、移动硬盘（一式三份）提交给采购人，包括无压缩JPG格式和多页双层PDF转换格式数据。备份数据也应进行检验，备份数据的检验内容主要包括备份数据能否打开、数据信息是否完整、文件数量是否准确等。数据备份后应在相应的备份介质上做好标签，以便查找和管理。</w:t>
      </w:r>
    </w:p>
    <w:p w14:paraId="67BAB142">
      <w:pPr>
        <w:keepNext w:val="0"/>
        <w:keepLines w:val="0"/>
        <w:pageBreakBefore w:val="0"/>
        <w:widowControl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13.数字化加工验收</w:t>
      </w:r>
    </w:p>
    <w:p w14:paraId="0577E294">
      <w:pPr>
        <w:keepNext w:val="0"/>
        <w:keepLines w:val="0"/>
        <w:pageBreakBefore w:val="0"/>
        <w:widowControl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（1）档案实体验收</w:t>
      </w:r>
    </w:p>
    <w:p w14:paraId="6F68D7CE">
      <w:pPr>
        <w:keepNext w:val="0"/>
        <w:keepLines w:val="0"/>
        <w:pageBreakBefore w:val="0"/>
        <w:widowControl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逐卷（件）交接档案实体，核对档案数量。如发生档案损毁或丢失，采购人将根据合同和相关法规向供应商要求赔偿并追究法律责任。</w:t>
      </w:r>
    </w:p>
    <w:p w14:paraId="3D90B756">
      <w:pPr>
        <w:keepNext w:val="0"/>
        <w:keepLines w:val="0"/>
        <w:pageBreakBefore w:val="0"/>
        <w:widowControl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检查档案还原质量是否合格，要求档案拆卷后需按原位置装订。保证卷内顺序按原页码排列，页面无损毁、涂改、破损、丢失。档案还原如有问题，供应商应及时返工进行补救。</w:t>
      </w:r>
    </w:p>
    <w:p w14:paraId="4FA74298">
      <w:pPr>
        <w:keepNext w:val="0"/>
        <w:keepLines w:val="0"/>
        <w:pageBreakBefore w:val="0"/>
        <w:widowControl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样品数据验收：供应商应先期完成100卷且不少于2万页档案数字化加工样品，并将样品数据交由采购人预检，验收合格后，所有档案数字化加工成品均应符合样品标准。</w:t>
      </w:r>
    </w:p>
    <w:p w14:paraId="37636C26">
      <w:pPr>
        <w:keepNext w:val="0"/>
        <w:keepLines w:val="0"/>
        <w:pageBreakBefore w:val="0"/>
        <w:widowControl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（2）数据抽检</w:t>
      </w:r>
    </w:p>
    <w:p w14:paraId="202C2033">
      <w:pPr>
        <w:keepNext w:val="0"/>
        <w:keepLines w:val="0"/>
        <w:pageBreakBefore w:val="0"/>
        <w:widowControl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以抽检的方式检查已完成数字化转换的所有数据，包括目录数据库、图像文件及数据挂接的总体质量。数据验收时抽检的比率不得低于10%。</w:t>
      </w:r>
    </w:p>
    <w:p w14:paraId="07082CD1">
      <w:pPr>
        <w:keepNext w:val="0"/>
        <w:keepLines w:val="0"/>
        <w:pageBreakBefore w:val="0"/>
        <w:widowControl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供应商应拥有档案数字化加工质检管理软件，并提供用户质检报告。每月定期向采购人提供数字化情况进展报告和费用使用及结余情况。</w:t>
      </w:r>
    </w:p>
    <w:p w14:paraId="648FE962">
      <w:pPr>
        <w:keepNext w:val="0"/>
        <w:keepLines w:val="0"/>
        <w:pageBreakBefore w:val="0"/>
        <w:widowControl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验收指标：目录数据库与图像文件挂接错误，不完全对应，或目录数据库、图像文件之一出现不完整、不清晰、有错误等质量问题时，都视为不合格产品。</w:t>
      </w:r>
    </w:p>
    <w:p w14:paraId="24A1742E">
      <w:pPr>
        <w:keepNext w:val="0"/>
        <w:keepLines w:val="0"/>
        <w:pageBreakBefore w:val="0"/>
        <w:widowControl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档案装订：检查所有档案的装订还原情况，差错率不能超过万分之一。</w:t>
      </w:r>
    </w:p>
    <w:p w14:paraId="68E10221">
      <w:pPr>
        <w:keepNext w:val="0"/>
        <w:keepLines w:val="0"/>
        <w:pageBreakBefore w:val="0"/>
        <w:widowControl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扫描图像：漏扫率为零。</w:t>
      </w:r>
    </w:p>
    <w:p w14:paraId="510A260D">
      <w:pPr>
        <w:keepNext w:val="0"/>
        <w:keepLines w:val="0"/>
        <w:pageBreakBefore w:val="0"/>
        <w:widowControl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图像质量：图像质量情况优质率达到99%。</w:t>
      </w:r>
    </w:p>
    <w:p w14:paraId="0B1F99DC">
      <w:pPr>
        <w:keepNext w:val="0"/>
        <w:keepLines w:val="0"/>
        <w:pageBreakBefore w:val="0"/>
        <w:widowControl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目录核对：以案卷（文件）为单位，关键字段正确率100%，其余字段录入错误率≤1‰。</w:t>
      </w:r>
    </w:p>
    <w:p w14:paraId="6F66AEBA">
      <w:pPr>
        <w:keepNext w:val="0"/>
        <w:keepLines w:val="0"/>
        <w:pageBreakBefore w:val="0"/>
        <w:widowControl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条目与图像挂接：挂接正确率100%。</w:t>
      </w:r>
    </w:p>
    <w:p w14:paraId="6B9A9164">
      <w:pPr>
        <w:keepNext w:val="0"/>
        <w:keepLines w:val="0"/>
        <w:pageBreakBefore w:val="0"/>
        <w:widowControl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档案原始材料：100%不缺失、不损坏。</w:t>
      </w:r>
    </w:p>
    <w:p w14:paraId="6077F053">
      <w:pPr>
        <w:keepNext w:val="0"/>
        <w:keepLines w:val="0"/>
        <w:pageBreakBefore w:val="0"/>
        <w:widowControl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验收审核：按照滁州学院验收管理办法执行。</w:t>
      </w:r>
    </w:p>
    <w:p w14:paraId="3C0F9586">
      <w:pPr>
        <w:keepNext w:val="0"/>
        <w:keepLines w:val="0"/>
        <w:pageBreakBefore w:val="0"/>
        <w:widowControl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据验收合格后，供应商须将档案级光盘（一式三份，一线品牌）、移动硬盘（一式三份，一线品牌）提交给采购人，包括无压缩JPG格式和多页双层PDF转换格式数据。供应商拆除所有生产数据用电脑硬盘移交采购方保管。</w:t>
      </w:r>
    </w:p>
    <w:p w14:paraId="0DC94B98">
      <w:pPr>
        <w:keepNext w:val="0"/>
        <w:keepLines w:val="0"/>
        <w:pageBreakBefore w:val="0"/>
        <w:widowControl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14.其他要求</w:t>
      </w:r>
    </w:p>
    <w:p w14:paraId="0D063465">
      <w:pPr>
        <w:keepNext w:val="0"/>
        <w:keepLines w:val="0"/>
        <w:pageBreakBefore w:val="0"/>
        <w:widowControl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（1）对部分特殊装订的档案，供应商经采购人许可后可进行拆卷扫描。</w:t>
      </w:r>
    </w:p>
    <w:p w14:paraId="64541CE2">
      <w:pPr>
        <w:keepNext w:val="0"/>
        <w:keepLines w:val="0"/>
        <w:pageBreakBefore w:val="0"/>
        <w:widowControl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（2）档案中如有内容被装订物遮挡，须进行拆卷扫描，拆卷后应及时进行恢复性、规范性整理装订。</w:t>
      </w:r>
    </w:p>
    <w:p w14:paraId="74F7F281">
      <w:pPr>
        <w:keepNext w:val="0"/>
        <w:keepLines w:val="0"/>
        <w:pageBreakBefore w:val="0"/>
        <w:widowControl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（3）档案重新装订前必须安排专人专机对扫描文档进行100%检查，并按规定做好检查记录。</w:t>
      </w:r>
    </w:p>
    <w:p w14:paraId="0F8C9790">
      <w:pPr>
        <w:keepNext w:val="0"/>
        <w:keepLines w:val="0"/>
        <w:pageBreakBefore w:val="0"/>
        <w:widowControl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（4）采用彩色单页jpg的存储格式，扫描分辨率不得低于600dpi，图片文件成品数据为≥24bit真彩JPG压缩格式，并合成多页双层PDF文件；对于照片及特殊档案在提高分辨率的同时并采用彩色扫描。</w:t>
      </w:r>
    </w:p>
    <w:p w14:paraId="333C7D2E">
      <w:pPr>
        <w:keepNext w:val="0"/>
        <w:keepLines w:val="0"/>
        <w:pageBreakBefore w:val="0"/>
        <w:widowControl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（5）电子图片的倾斜度不超过0.5度，不允许有折叠或缺损，保持图像的完整，图片端正、无扭曲。</w:t>
      </w:r>
    </w:p>
    <w:p w14:paraId="6D1EDB9F">
      <w:pPr>
        <w:keepNext w:val="0"/>
        <w:keepLines w:val="0"/>
        <w:pageBreakBefore w:val="0"/>
        <w:widowControl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（6）采用平板扫描方式，不得损坏纸质档案；确保在扫描过程中不对档案原件造成二次损伤；保证档案扫描图像与原件一致、整洁、清晰。</w:t>
      </w:r>
    </w:p>
    <w:p w14:paraId="7A113AF5">
      <w:pPr>
        <w:keepNext w:val="0"/>
        <w:keepLines w:val="0"/>
        <w:pageBreakBefore w:val="0"/>
        <w:widowControl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（7）对扫描的图片进行加工裁减、去边、去污等技术处理，不留文字版面外的暗影、无干扰信息，应遵循在不影响可懂度的前提下展现档案原貌的原则；</w:t>
      </w:r>
    </w:p>
    <w:p w14:paraId="4BCDC21E">
      <w:pPr>
        <w:keepNext w:val="0"/>
        <w:keepLines w:val="0"/>
        <w:pageBreakBefore w:val="0"/>
        <w:widowControl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（8）为了保证档案内容与档案载体的绝对安全，供应商必须具有国家秘密载体印制或复制资质证书，确保加工过程中档案不得丢失、泄密、损坏，并提交相应电子数据的档案级光盘、移动硬盘备份。</w:t>
      </w:r>
    </w:p>
    <w:p w14:paraId="0F1DC2E8">
      <w:pPr>
        <w:keepNext w:val="0"/>
        <w:keepLines w:val="0"/>
        <w:pageBreakBefore w:val="0"/>
        <w:widowControl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供应商必须具有自主知识产权的数字化加工加密软件、档案整理归档软件、数字化成果检测软件以及相应数字化在线质检与验收软件，确保本次数字化全过程规范、安全、保密，数字化成果验收准确、高效、便捷。</w:t>
      </w:r>
    </w:p>
    <w:p w14:paraId="3DF55679">
      <w:pPr>
        <w:keepNext w:val="0"/>
        <w:keepLines w:val="0"/>
        <w:pageBreakBefore w:val="0"/>
        <w:widowControl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（10）数字化加工必须在采购人指定工作场所进行。</w:t>
      </w:r>
    </w:p>
    <w:p w14:paraId="6DEE721D">
      <w:pPr>
        <w:keepNext w:val="0"/>
        <w:keepLines w:val="0"/>
        <w:pageBreakBefore w:val="0"/>
        <w:widowControl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（11）项目完成后，供应商需打印全部扫描文件的全引目录提供给采购方备存，供日后检索查阅所用。</w:t>
      </w:r>
    </w:p>
    <w:p w14:paraId="2B962D4A">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（四）售后服务</w:t>
      </w:r>
    </w:p>
    <w:p w14:paraId="5E3A344D">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1.供应商保证项目严格按照国家相关标准要求实施；采购方在验收时如果发现有质量、技术或其他问题，供应商应负责按照采购方的要求采取补足或更换等措施处理，并承担由此发生的一切损失和费用；</w:t>
      </w:r>
    </w:p>
    <w:p w14:paraId="5B8B5EFA">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2.供应商所提供的档案数字化成品应符合安徽省档案局和滁州学院标准的同时，能够满足导入滁州学院档案管理系统的要求；</w:t>
      </w:r>
    </w:p>
    <w:p w14:paraId="50E33FE6">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3.售后服务期限：项目验收交付后提供2年的免费售后服务；</w:t>
      </w:r>
    </w:p>
    <w:p w14:paraId="330A4FE9">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4.售后服务响应时间：接到用户电话后2小时内响应，并最迟在第2个工作日内解决问题或排除故障，2个工作日内不能解决的，必须采取临时应急等措施，保证滁州学院档案电子数据的正常使用。</w:t>
      </w:r>
    </w:p>
    <w:p w14:paraId="2E0D95E8">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（五）报价要求</w:t>
      </w:r>
    </w:p>
    <w:p w14:paraId="4CBEFDBC">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本项目报价包括总价和各</w:t>
      </w:r>
      <w:r>
        <w:rPr>
          <w:rFonts w:hint="eastAsia" w:ascii="宋体" w:hAnsi="宋体" w:eastAsia="宋体" w:cs="宋体"/>
          <w:color w:val="auto"/>
          <w:sz w:val="21"/>
          <w:szCs w:val="21"/>
          <w:highlight w:val="none"/>
        </w:rPr>
        <w:t>分项综合单价</w:t>
      </w:r>
      <w:r>
        <w:rPr>
          <w:rFonts w:hint="eastAsia" w:ascii="宋体" w:hAnsi="宋体" w:eastAsia="宋体" w:cs="宋体"/>
          <w:color w:val="auto"/>
          <w:sz w:val="21"/>
          <w:szCs w:val="21"/>
          <w:highlight w:val="none"/>
        </w:rPr>
        <w:t>。总价报价依据为采购需求所列估算量，报价范围包括人工、交通、税金及材料上涨等各项费用在内的综合价格；</w:t>
      </w:r>
      <w:r>
        <w:rPr>
          <w:rFonts w:hint="eastAsia" w:ascii="宋体" w:hAnsi="宋体" w:eastAsia="宋体" w:cs="宋体"/>
          <w:color w:val="auto"/>
          <w:sz w:val="21"/>
          <w:szCs w:val="21"/>
          <w:highlight w:val="none"/>
        </w:rPr>
        <w:t>结算时以各分项的综合单价最后报价、以实际数量为准。</w:t>
      </w:r>
    </w:p>
    <w:p w14:paraId="2EC4211F">
      <w:pPr>
        <w:spacing w:before="156" w:beforeLines="50" w:after="156" w:afterLines="50"/>
        <w:jc w:val="center"/>
        <w:rPr>
          <w:rFonts w:hint="eastAsia" w:ascii="宋体" w:hAnsi="宋体" w:cs="宋体"/>
          <w:b/>
          <w:color w:val="auto"/>
          <w:sz w:val="32"/>
          <w:szCs w:val="32"/>
          <w:highlight w:val="none"/>
        </w:rPr>
      </w:pPr>
    </w:p>
    <w:p w14:paraId="498A5C40">
      <w:pPr>
        <w:pageBreakBefore/>
        <w:spacing w:before="156" w:beforeLines="50" w:after="156" w:afterLines="50"/>
        <w:jc w:val="center"/>
        <w:outlineLvl w:val="3"/>
        <w:rPr>
          <w:rFonts w:hint="eastAsia" w:ascii="宋体" w:hAnsi="宋体" w:cs="宋体"/>
          <w:b/>
          <w:color w:val="auto"/>
          <w:sz w:val="32"/>
          <w:szCs w:val="32"/>
          <w:highlight w:val="none"/>
        </w:rPr>
      </w:pPr>
      <w:r>
        <w:rPr>
          <w:rFonts w:hint="eastAsia" w:ascii="宋体" w:hAnsi="宋体" w:cs="宋体"/>
          <w:b/>
          <w:color w:val="auto"/>
          <w:sz w:val="32"/>
          <w:szCs w:val="32"/>
          <w:highlight w:val="none"/>
        </w:rPr>
        <w:t>合同条款及格式（服务类）</w:t>
      </w:r>
    </w:p>
    <w:p w14:paraId="633771ED">
      <w:pPr>
        <w:spacing w:line="400" w:lineRule="exact"/>
        <w:ind w:left="360"/>
        <w:jc w:val="center"/>
        <w:rPr>
          <w:b/>
          <w:color w:val="auto"/>
          <w:sz w:val="30"/>
          <w:szCs w:val="30"/>
          <w:highlight w:val="none"/>
        </w:rPr>
      </w:pPr>
    </w:p>
    <w:p w14:paraId="1E441411">
      <w:pPr>
        <w:spacing w:line="400" w:lineRule="exact"/>
        <w:ind w:left="360"/>
        <w:jc w:val="center"/>
        <w:rPr>
          <w:b/>
          <w:color w:val="auto"/>
          <w:sz w:val="30"/>
          <w:szCs w:val="30"/>
          <w:highlight w:val="none"/>
        </w:rPr>
      </w:pPr>
    </w:p>
    <w:p w14:paraId="6D0827F2">
      <w:pPr>
        <w:spacing w:line="400" w:lineRule="exact"/>
        <w:jc w:val="center"/>
        <w:outlineLvl w:val="2"/>
        <w:rPr>
          <w:rFonts w:eastAsia="黑体"/>
          <w:b/>
          <w:color w:val="auto"/>
          <w:sz w:val="30"/>
          <w:szCs w:val="30"/>
          <w:highlight w:val="none"/>
        </w:rPr>
      </w:pPr>
      <w:bookmarkStart w:id="32" w:name="_Toc449028946"/>
      <w:r>
        <w:rPr>
          <w:b/>
          <w:color w:val="auto"/>
          <w:sz w:val="30"/>
          <w:szCs w:val="30"/>
          <w:highlight w:val="none"/>
        </w:rPr>
        <w:t>合同协议书（</w:t>
      </w:r>
      <w:r>
        <w:rPr>
          <w:rFonts w:hint="eastAsia"/>
          <w:b/>
          <w:color w:val="auto"/>
          <w:sz w:val="30"/>
          <w:szCs w:val="30"/>
          <w:highlight w:val="none"/>
        </w:rPr>
        <w:t>参考</w:t>
      </w:r>
      <w:r>
        <w:rPr>
          <w:b/>
          <w:color w:val="auto"/>
          <w:sz w:val="30"/>
          <w:szCs w:val="30"/>
          <w:highlight w:val="none"/>
        </w:rPr>
        <w:t>格式）</w:t>
      </w:r>
      <w:bookmarkEnd w:id="32"/>
    </w:p>
    <w:p w14:paraId="78FF3051">
      <w:pPr>
        <w:spacing w:before="120" w:line="480" w:lineRule="auto"/>
        <w:ind w:left="960"/>
        <w:rPr>
          <w:color w:val="auto"/>
          <w:sz w:val="24"/>
          <w:highlight w:val="none"/>
        </w:rPr>
      </w:pPr>
    </w:p>
    <w:p w14:paraId="48528555">
      <w:pPr>
        <w:spacing w:before="120" w:line="480" w:lineRule="auto"/>
        <w:ind w:left="960"/>
        <w:rPr>
          <w:color w:val="auto"/>
          <w:sz w:val="24"/>
          <w:highlight w:val="none"/>
        </w:rPr>
      </w:pPr>
    </w:p>
    <w:p w14:paraId="69E9BAB6">
      <w:pPr>
        <w:spacing w:before="120" w:line="480" w:lineRule="auto"/>
        <w:ind w:left="960"/>
        <w:rPr>
          <w:color w:val="auto"/>
          <w:sz w:val="24"/>
          <w:highlight w:val="none"/>
        </w:rPr>
      </w:pPr>
    </w:p>
    <w:p w14:paraId="4563037C">
      <w:pPr>
        <w:spacing w:before="120" w:line="480" w:lineRule="auto"/>
        <w:ind w:left="960"/>
        <w:rPr>
          <w:color w:val="auto"/>
          <w:sz w:val="24"/>
          <w:highlight w:val="none"/>
        </w:rPr>
      </w:pPr>
    </w:p>
    <w:p w14:paraId="110FA089">
      <w:pPr>
        <w:spacing w:before="120" w:line="480" w:lineRule="auto"/>
        <w:ind w:left="960"/>
        <w:rPr>
          <w:color w:val="auto"/>
          <w:sz w:val="24"/>
          <w:highlight w:val="none"/>
        </w:rPr>
      </w:pPr>
    </w:p>
    <w:p w14:paraId="7A0D3042">
      <w:pPr>
        <w:spacing w:before="120" w:line="480" w:lineRule="auto"/>
        <w:ind w:left="960"/>
        <w:rPr>
          <w:color w:val="auto"/>
          <w:sz w:val="24"/>
          <w:highlight w:val="none"/>
        </w:rPr>
      </w:pPr>
    </w:p>
    <w:p w14:paraId="2D8AA5AF">
      <w:pPr>
        <w:spacing w:before="120" w:line="480" w:lineRule="auto"/>
        <w:ind w:left="960"/>
        <w:rPr>
          <w:color w:val="auto"/>
          <w:sz w:val="24"/>
          <w:highlight w:val="none"/>
        </w:rPr>
      </w:pPr>
    </w:p>
    <w:p w14:paraId="7F8F04E0">
      <w:pPr>
        <w:spacing w:before="120" w:line="480" w:lineRule="auto"/>
        <w:ind w:left="960"/>
        <w:rPr>
          <w:color w:val="auto"/>
          <w:sz w:val="24"/>
          <w:highlight w:val="none"/>
        </w:rPr>
      </w:pPr>
    </w:p>
    <w:p w14:paraId="1D76B268">
      <w:pPr>
        <w:spacing w:before="120" w:line="480" w:lineRule="auto"/>
        <w:rPr>
          <w:color w:val="auto"/>
          <w:szCs w:val="21"/>
          <w:highlight w:val="none"/>
        </w:rPr>
      </w:pPr>
      <w:r>
        <w:rPr>
          <w:color w:val="auto"/>
          <w:szCs w:val="21"/>
          <w:highlight w:val="none"/>
        </w:rPr>
        <w:t xml:space="preserve">项目名称：    </w:t>
      </w:r>
    </w:p>
    <w:p w14:paraId="2BE1D0D4">
      <w:pPr>
        <w:spacing w:before="120" w:line="480" w:lineRule="auto"/>
        <w:rPr>
          <w:color w:val="auto"/>
          <w:szCs w:val="21"/>
          <w:highlight w:val="none"/>
        </w:rPr>
      </w:pPr>
      <w:r>
        <w:rPr>
          <w:color w:val="auto"/>
          <w:szCs w:val="21"/>
          <w:highlight w:val="none"/>
        </w:rPr>
        <w:t>项目编号：</w:t>
      </w:r>
    </w:p>
    <w:p w14:paraId="116E519C">
      <w:pPr>
        <w:spacing w:before="120" w:line="480" w:lineRule="auto"/>
        <w:rPr>
          <w:color w:val="auto"/>
          <w:szCs w:val="21"/>
          <w:highlight w:val="none"/>
          <w:u w:val="single"/>
        </w:rPr>
      </w:pPr>
      <w:r>
        <w:rPr>
          <w:color w:val="auto"/>
          <w:szCs w:val="21"/>
          <w:highlight w:val="none"/>
        </w:rPr>
        <w:t>甲方（采购人）：</w:t>
      </w:r>
      <w:r>
        <w:rPr>
          <w:color w:val="auto"/>
          <w:szCs w:val="21"/>
          <w:highlight w:val="none"/>
          <w:u w:val="single"/>
        </w:rPr>
        <w:t xml:space="preserve">                              </w:t>
      </w:r>
    </w:p>
    <w:p w14:paraId="274C9B65">
      <w:pPr>
        <w:spacing w:before="120" w:line="480" w:lineRule="auto"/>
        <w:rPr>
          <w:color w:val="auto"/>
          <w:szCs w:val="21"/>
          <w:highlight w:val="none"/>
          <w:u w:val="single"/>
        </w:rPr>
      </w:pPr>
      <w:r>
        <w:rPr>
          <w:color w:val="auto"/>
          <w:szCs w:val="21"/>
          <w:highlight w:val="none"/>
        </w:rPr>
        <w:t>乙方（</w:t>
      </w:r>
      <w:r>
        <w:rPr>
          <w:rFonts w:hint="eastAsia"/>
          <w:color w:val="auto"/>
          <w:szCs w:val="21"/>
          <w:highlight w:val="none"/>
        </w:rPr>
        <w:t>成交</w:t>
      </w:r>
      <w:r>
        <w:rPr>
          <w:color w:val="auto"/>
          <w:szCs w:val="21"/>
          <w:highlight w:val="none"/>
        </w:rPr>
        <w:t>人）：</w:t>
      </w:r>
      <w:r>
        <w:rPr>
          <w:color w:val="auto"/>
          <w:szCs w:val="21"/>
          <w:highlight w:val="none"/>
          <w:u w:val="single"/>
        </w:rPr>
        <w:t xml:space="preserve">                              </w:t>
      </w:r>
    </w:p>
    <w:p w14:paraId="4F09EAD9">
      <w:pPr>
        <w:spacing w:before="120" w:line="480" w:lineRule="auto"/>
        <w:rPr>
          <w:color w:val="auto"/>
          <w:szCs w:val="21"/>
          <w:highlight w:val="none"/>
          <w:u w:val="single"/>
        </w:rPr>
      </w:pPr>
      <w:r>
        <w:rPr>
          <w:color w:val="auto"/>
          <w:szCs w:val="21"/>
          <w:highlight w:val="none"/>
        </w:rPr>
        <w:t>签订地：</w:t>
      </w:r>
      <w:r>
        <w:rPr>
          <w:color w:val="auto"/>
          <w:szCs w:val="21"/>
          <w:highlight w:val="none"/>
          <w:u w:val="single"/>
        </w:rPr>
        <w:t xml:space="preserve">                                     </w:t>
      </w:r>
    </w:p>
    <w:p w14:paraId="1565CD49">
      <w:pPr>
        <w:spacing w:before="120" w:line="480" w:lineRule="auto"/>
        <w:rPr>
          <w:color w:val="auto"/>
          <w:szCs w:val="21"/>
          <w:highlight w:val="none"/>
        </w:rPr>
      </w:pPr>
      <w:r>
        <w:rPr>
          <w:color w:val="auto"/>
          <w:szCs w:val="21"/>
          <w:highlight w:val="none"/>
        </w:rPr>
        <w:t>签订日期：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0DB83EBC">
      <w:pPr>
        <w:spacing w:line="440" w:lineRule="exact"/>
        <w:ind w:firstLine="420" w:firstLineChars="200"/>
        <w:jc w:val="left"/>
        <w:rPr>
          <w:color w:val="auto"/>
          <w:szCs w:val="21"/>
          <w:highlight w:val="none"/>
        </w:rPr>
      </w:pPr>
    </w:p>
    <w:p w14:paraId="16E977BA">
      <w:pPr>
        <w:spacing w:line="440" w:lineRule="exact"/>
        <w:ind w:firstLine="420" w:firstLineChars="200"/>
        <w:jc w:val="left"/>
        <w:rPr>
          <w:color w:val="auto"/>
          <w:szCs w:val="21"/>
          <w:highlight w:val="none"/>
        </w:rPr>
      </w:pPr>
    </w:p>
    <w:p w14:paraId="3CAC75A0">
      <w:pPr>
        <w:spacing w:line="440" w:lineRule="exact"/>
        <w:ind w:firstLine="420" w:firstLineChars="200"/>
        <w:jc w:val="left"/>
        <w:rPr>
          <w:color w:val="auto"/>
          <w:szCs w:val="21"/>
          <w:highlight w:val="none"/>
        </w:rPr>
      </w:pPr>
    </w:p>
    <w:p w14:paraId="3716076A">
      <w:pPr>
        <w:spacing w:line="440" w:lineRule="exact"/>
        <w:jc w:val="left"/>
        <w:rPr>
          <w:color w:val="auto"/>
          <w:szCs w:val="21"/>
          <w:highlight w:val="none"/>
        </w:rPr>
      </w:pPr>
    </w:p>
    <w:p w14:paraId="1A92667F">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u w:val="single"/>
        </w:rPr>
        <w:t>（采购人名称）     （</w:t>
      </w:r>
      <w:r>
        <w:rPr>
          <w:rFonts w:hint="eastAsia" w:ascii="宋体" w:hAnsi="宋体" w:cs="宋体"/>
          <w:color w:val="auto"/>
          <w:szCs w:val="21"/>
          <w:highlight w:val="none"/>
          <w:u w:val="single"/>
          <w:lang w:val="zh-CN"/>
        </w:rPr>
        <w:t>以下简称：甲方</w:t>
      </w:r>
      <w:r>
        <w:rPr>
          <w:rFonts w:hint="eastAsia" w:ascii="宋体" w:hAnsi="宋体" w:cs="宋体"/>
          <w:color w:val="auto"/>
          <w:szCs w:val="21"/>
          <w:highlight w:val="none"/>
          <w:u w:val="single"/>
        </w:rPr>
        <w:t>）</w:t>
      </w:r>
      <w:r>
        <w:rPr>
          <w:rFonts w:hint="eastAsia" w:ascii="宋体" w:hAnsi="宋体" w:cs="宋体"/>
          <w:color w:val="auto"/>
          <w:szCs w:val="21"/>
          <w:highlight w:val="none"/>
        </w:rPr>
        <w:t>通过竞争性磋商采购招标，经磋商小组评定，确定（成交人名称）（</w:t>
      </w:r>
      <w:r>
        <w:rPr>
          <w:rFonts w:hint="eastAsia" w:ascii="宋体" w:hAnsi="宋体" w:cs="宋体"/>
          <w:color w:val="auto"/>
          <w:szCs w:val="21"/>
          <w:highlight w:val="none"/>
          <w:lang w:val="zh-CN"/>
        </w:rPr>
        <w:t>以下简称：乙方</w:t>
      </w:r>
      <w:r>
        <w:rPr>
          <w:rFonts w:hint="eastAsia" w:ascii="宋体" w:hAnsi="宋体" w:cs="宋体"/>
          <w:color w:val="auto"/>
          <w:szCs w:val="21"/>
          <w:highlight w:val="none"/>
        </w:rPr>
        <w:t>）为本项目成交人，现按照采购文件确定的事项签订本合同。</w:t>
      </w:r>
    </w:p>
    <w:p w14:paraId="03531536">
      <w:pPr>
        <w:spacing w:line="440" w:lineRule="exact"/>
        <w:ind w:firstLine="420" w:firstLineChars="200"/>
        <w:jc w:val="left"/>
        <w:rPr>
          <w:rFonts w:hint="eastAsia" w:ascii="宋体" w:hAnsi="宋体" w:cs="宋体"/>
          <w:color w:val="auto"/>
          <w:szCs w:val="21"/>
          <w:highlight w:val="none"/>
          <w:lang w:val="zh-CN"/>
        </w:rPr>
      </w:pPr>
      <w:r>
        <w:rPr>
          <w:rFonts w:hint="eastAsia" w:ascii="宋体" w:hAnsi="宋体" w:cs="宋体"/>
          <w:color w:val="auto"/>
          <w:szCs w:val="21"/>
          <w:highlight w:val="none"/>
        </w:rPr>
        <w:t>根据《中华人民共和国民法典》等相关法律法规之规定，按照平等、自愿、公平和诚实信用的原则，经甲方和乙方协商一致，约定以下合同条款，以兹共同遵守、全面履行。</w:t>
      </w:r>
    </w:p>
    <w:p w14:paraId="0C491753">
      <w:pPr>
        <w:spacing w:line="440" w:lineRule="exact"/>
        <w:ind w:firstLine="422" w:firstLineChars="200"/>
        <w:jc w:val="left"/>
        <w:outlineLvl w:val="3"/>
        <w:rPr>
          <w:rFonts w:hint="eastAsia" w:ascii="宋体" w:hAnsi="宋体" w:cs="宋体"/>
          <w:b/>
          <w:bCs/>
          <w:color w:val="auto"/>
          <w:szCs w:val="21"/>
          <w:highlight w:val="none"/>
          <w:lang w:val="zh-CN"/>
        </w:rPr>
      </w:pPr>
      <w:bookmarkStart w:id="33" w:name="_Toc2232"/>
      <w:bookmarkStart w:id="34" w:name="_Toc3029"/>
      <w:bookmarkStart w:id="35" w:name="_Toc24059"/>
      <w:r>
        <w:rPr>
          <w:rFonts w:hint="eastAsia" w:ascii="宋体" w:hAnsi="宋体" w:cs="宋体"/>
          <w:b/>
          <w:bCs/>
          <w:color w:val="auto"/>
          <w:szCs w:val="21"/>
          <w:highlight w:val="none"/>
          <w:lang w:val="zh-CN"/>
        </w:rPr>
        <w:t>1.1 合同组成部分</w:t>
      </w:r>
      <w:bookmarkEnd w:id="33"/>
      <w:bookmarkEnd w:id="34"/>
      <w:bookmarkEnd w:id="35"/>
    </w:p>
    <w:p w14:paraId="0B65D966">
      <w:pPr>
        <w:spacing w:line="440" w:lineRule="exact"/>
        <w:ind w:firstLine="420" w:firstLineChars="200"/>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3DE36341">
      <w:pPr>
        <w:spacing w:line="440" w:lineRule="exact"/>
        <w:ind w:firstLine="420" w:firstLineChars="200"/>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1.1.1本合同及其补充合同、变更协议；</w:t>
      </w:r>
    </w:p>
    <w:p w14:paraId="78FB4E5C">
      <w:pPr>
        <w:spacing w:line="440" w:lineRule="exact"/>
        <w:ind w:firstLine="420" w:firstLineChars="200"/>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1.1.2成交通知书；</w:t>
      </w:r>
    </w:p>
    <w:p w14:paraId="3F6C3F0D">
      <w:pPr>
        <w:spacing w:line="440" w:lineRule="exact"/>
        <w:ind w:firstLine="420" w:firstLineChars="200"/>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1.1.3响应文件（含澄清或者说明文件）；</w:t>
      </w:r>
    </w:p>
    <w:p w14:paraId="1A09568A">
      <w:pPr>
        <w:spacing w:line="440" w:lineRule="exact"/>
        <w:ind w:firstLine="420" w:firstLineChars="200"/>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1.1.4磋商文件（含澄清或者修改文件）；</w:t>
      </w:r>
    </w:p>
    <w:p w14:paraId="79DE56E3">
      <w:pPr>
        <w:spacing w:line="440" w:lineRule="exact"/>
        <w:ind w:firstLine="420" w:firstLineChars="200"/>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1.1.5其他相关采购文件。</w:t>
      </w:r>
    </w:p>
    <w:p w14:paraId="1ADBC621">
      <w:pPr>
        <w:spacing w:line="440" w:lineRule="exact"/>
        <w:ind w:firstLine="422" w:firstLineChars="200"/>
        <w:jc w:val="left"/>
        <w:outlineLvl w:val="3"/>
        <w:rPr>
          <w:rFonts w:hint="eastAsia" w:ascii="宋体" w:hAnsi="宋体" w:cs="宋体"/>
          <w:b/>
          <w:bCs/>
          <w:color w:val="auto"/>
          <w:szCs w:val="21"/>
          <w:highlight w:val="none"/>
          <w:lang w:val="zh-CN"/>
        </w:rPr>
      </w:pPr>
      <w:bookmarkStart w:id="36" w:name="_Toc6773"/>
      <w:bookmarkStart w:id="37" w:name="_Toc18585"/>
      <w:bookmarkStart w:id="38" w:name="_Toc2918"/>
      <w:bookmarkStart w:id="39" w:name="_Toc6311"/>
      <w:bookmarkStart w:id="40" w:name="_Toc22185"/>
      <w:r>
        <w:rPr>
          <w:rFonts w:hint="eastAsia" w:ascii="宋体" w:hAnsi="宋体" w:cs="宋体"/>
          <w:b/>
          <w:bCs/>
          <w:color w:val="auto"/>
          <w:szCs w:val="21"/>
          <w:highlight w:val="none"/>
          <w:lang w:val="zh-CN"/>
        </w:rPr>
        <w:t xml:space="preserve">1.2 </w:t>
      </w:r>
      <w:bookmarkEnd w:id="36"/>
      <w:bookmarkEnd w:id="37"/>
      <w:bookmarkEnd w:id="38"/>
      <w:bookmarkEnd w:id="39"/>
      <w:bookmarkEnd w:id="40"/>
      <w:r>
        <w:rPr>
          <w:rFonts w:hint="eastAsia" w:ascii="宋体" w:hAnsi="宋体" w:cs="宋体"/>
          <w:b/>
          <w:bCs/>
          <w:color w:val="auto"/>
          <w:szCs w:val="21"/>
          <w:highlight w:val="none"/>
          <w:lang w:val="zh-CN"/>
        </w:rPr>
        <w:t>服务</w:t>
      </w:r>
    </w:p>
    <w:p w14:paraId="4E68C319">
      <w:pPr>
        <w:spacing w:line="44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1.2.1服务名称：</w:t>
      </w:r>
      <w:r>
        <w:rPr>
          <w:rFonts w:hint="eastAsia" w:ascii="宋体" w:hAnsi="宋体" w:cs="宋体"/>
          <w:color w:val="auto"/>
          <w:szCs w:val="21"/>
          <w:highlight w:val="none"/>
          <w:u w:val="single"/>
          <w:lang w:eastAsia="zh-CN"/>
        </w:rPr>
        <w:t>滁州学院档案数字化服务项目（三期）及基建档案整理</w:t>
      </w:r>
      <w:r>
        <w:rPr>
          <w:rFonts w:hint="eastAsia" w:ascii="宋体" w:hAnsi="宋体" w:cs="宋体"/>
          <w:color w:val="auto"/>
          <w:szCs w:val="21"/>
          <w:highlight w:val="none"/>
          <w:u w:val="single"/>
        </w:rPr>
        <w:t xml:space="preserve"> ；</w:t>
      </w:r>
    </w:p>
    <w:p w14:paraId="5DAAC763">
      <w:pPr>
        <w:spacing w:line="440" w:lineRule="exact"/>
        <w:ind w:firstLine="420" w:firstLineChars="200"/>
        <w:jc w:val="left"/>
        <w:outlineLvl w:val="4"/>
        <w:rPr>
          <w:rFonts w:hint="eastAsia" w:ascii="宋体" w:hAnsi="宋体" w:cs="宋体"/>
          <w:color w:val="auto"/>
          <w:szCs w:val="21"/>
          <w:highlight w:val="none"/>
          <w:u w:val="single"/>
        </w:rPr>
      </w:pPr>
      <w:r>
        <w:rPr>
          <w:rFonts w:hint="eastAsia" w:ascii="宋体" w:hAnsi="宋体" w:cs="宋体"/>
          <w:color w:val="auto"/>
          <w:szCs w:val="21"/>
          <w:highlight w:val="none"/>
        </w:rPr>
        <w:t>1.2.2服务内容：</w:t>
      </w:r>
      <w:r>
        <w:rPr>
          <w:rFonts w:hint="eastAsia" w:ascii="宋体" w:hAnsi="宋体" w:cs="宋体"/>
          <w:color w:val="auto"/>
          <w:szCs w:val="21"/>
          <w:highlight w:val="none"/>
          <w:u w:val="single"/>
        </w:rPr>
        <w:t>具体详见本项目《</w:t>
      </w:r>
      <w:bookmarkStart w:id="41" w:name="_Toc23292"/>
      <w:bookmarkStart w:id="42" w:name="_Toc21631"/>
      <w:bookmarkStart w:id="43" w:name="_Toc21551"/>
      <w:r>
        <w:rPr>
          <w:rFonts w:hint="eastAsia" w:ascii="宋体" w:hAnsi="宋体" w:cs="宋体"/>
          <w:color w:val="auto"/>
          <w:szCs w:val="21"/>
          <w:highlight w:val="none"/>
          <w:u w:val="single"/>
        </w:rPr>
        <w:t>采购服务需求及技术要求》</w:t>
      </w:r>
    </w:p>
    <w:p w14:paraId="0C25D4D9">
      <w:pPr>
        <w:spacing w:line="440" w:lineRule="exact"/>
        <w:ind w:firstLine="422" w:firstLineChars="200"/>
        <w:jc w:val="left"/>
        <w:outlineLvl w:val="3"/>
        <w:rPr>
          <w:rFonts w:hint="eastAsia" w:ascii="宋体" w:hAnsi="宋体" w:cs="宋体"/>
          <w:b/>
          <w:bCs/>
          <w:color w:val="auto"/>
          <w:szCs w:val="21"/>
          <w:highlight w:val="none"/>
          <w:lang w:val="zh-CN"/>
        </w:rPr>
      </w:pPr>
      <w:r>
        <w:rPr>
          <w:rFonts w:hint="eastAsia" w:ascii="宋体" w:hAnsi="宋体" w:cs="宋体"/>
          <w:b/>
          <w:bCs/>
          <w:color w:val="auto"/>
          <w:szCs w:val="21"/>
          <w:highlight w:val="none"/>
          <w:lang w:val="zh-CN"/>
        </w:rPr>
        <w:t>1.3 价款</w:t>
      </w:r>
      <w:bookmarkEnd w:id="41"/>
      <w:bookmarkEnd w:id="42"/>
      <w:bookmarkEnd w:id="43"/>
    </w:p>
    <w:p w14:paraId="42397F98">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本合同总价为：￥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元（大写：人民币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p w14:paraId="00ECC187">
      <w:pPr>
        <w:spacing w:line="44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分项价格：</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4317"/>
        <w:gridCol w:w="12"/>
        <w:gridCol w:w="3232"/>
        <w:gridCol w:w="12"/>
      </w:tblGrid>
      <w:tr w14:paraId="330C9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956" w:type="dxa"/>
            <w:noWrap w:val="0"/>
            <w:vAlign w:val="center"/>
          </w:tcPr>
          <w:p w14:paraId="28820073">
            <w:pPr>
              <w:spacing w:line="440" w:lineRule="exact"/>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序号</w:t>
            </w:r>
          </w:p>
        </w:tc>
        <w:tc>
          <w:tcPr>
            <w:tcW w:w="4317" w:type="dxa"/>
            <w:noWrap w:val="0"/>
            <w:vAlign w:val="center"/>
          </w:tcPr>
          <w:p w14:paraId="5EB76ABE">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分项名称</w:t>
            </w:r>
          </w:p>
        </w:tc>
        <w:tc>
          <w:tcPr>
            <w:tcW w:w="3237" w:type="dxa"/>
            <w:gridSpan w:val="2"/>
            <w:noWrap w:val="0"/>
            <w:vAlign w:val="center"/>
          </w:tcPr>
          <w:p w14:paraId="41DF0461">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分项价格</w:t>
            </w:r>
          </w:p>
        </w:tc>
      </w:tr>
      <w:tr w14:paraId="41567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956" w:type="dxa"/>
            <w:noWrap w:val="0"/>
            <w:vAlign w:val="top"/>
          </w:tcPr>
          <w:p w14:paraId="580552AE">
            <w:pPr>
              <w:spacing w:line="440" w:lineRule="exact"/>
              <w:ind w:firstLine="420" w:firstLineChars="200"/>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1</w:t>
            </w:r>
          </w:p>
        </w:tc>
        <w:tc>
          <w:tcPr>
            <w:tcW w:w="4317" w:type="dxa"/>
            <w:noWrap w:val="0"/>
            <w:vAlign w:val="center"/>
          </w:tcPr>
          <w:p w14:paraId="1230DCC9">
            <w:pPr>
              <w:spacing w:line="440" w:lineRule="exact"/>
              <w:ind w:firstLine="420" w:firstLineChars="200"/>
              <w:jc w:val="left"/>
              <w:rPr>
                <w:rFonts w:hint="eastAsia" w:ascii="宋体" w:hAnsi="宋体" w:cs="宋体"/>
                <w:color w:val="auto"/>
                <w:szCs w:val="21"/>
                <w:highlight w:val="none"/>
              </w:rPr>
            </w:pPr>
          </w:p>
        </w:tc>
        <w:tc>
          <w:tcPr>
            <w:tcW w:w="3237" w:type="dxa"/>
            <w:gridSpan w:val="2"/>
            <w:noWrap w:val="0"/>
            <w:vAlign w:val="center"/>
          </w:tcPr>
          <w:p w14:paraId="63F81185">
            <w:pPr>
              <w:spacing w:line="440" w:lineRule="exact"/>
              <w:ind w:firstLine="420" w:firstLineChars="200"/>
              <w:jc w:val="left"/>
              <w:rPr>
                <w:rFonts w:hint="eastAsia" w:ascii="宋体" w:hAnsi="宋体" w:cs="宋体"/>
                <w:color w:val="auto"/>
                <w:szCs w:val="21"/>
                <w:highlight w:val="none"/>
              </w:rPr>
            </w:pPr>
          </w:p>
        </w:tc>
      </w:tr>
      <w:tr w14:paraId="19657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956" w:type="dxa"/>
            <w:noWrap w:val="0"/>
            <w:vAlign w:val="top"/>
          </w:tcPr>
          <w:p w14:paraId="408CE12F">
            <w:pPr>
              <w:spacing w:line="440" w:lineRule="exact"/>
              <w:ind w:firstLine="420" w:firstLineChars="200"/>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2</w:t>
            </w:r>
          </w:p>
        </w:tc>
        <w:tc>
          <w:tcPr>
            <w:tcW w:w="4317" w:type="dxa"/>
            <w:noWrap w:val="0"/>
            <w:vAlign w:val="center"/>
          </w:tcPr>
          <w:p w14:paraId="7C9B7B3D">
            <w:pPr>
              <w:spacing w:line="440" w:lineRule="exact"/>
              <w:ind w:firstLine="420" w:firstLineChars="200"/>
              <w:jc w:val="left"/>
              <w:rPr>
                <w:rFonts w:hint="eastAsia" w:ascii="宋体" w:hAnsi="宋体" w:cs="宋体"/>
                <w:color w:val="auto"/>
                <w:szCs w:val="21"/>
                <w:highlight w:val="none"/>
              </w:rPr>
            </w:pPr>
          </w:p>
        </w:tc>
        <w:tc>
          <w:tcPr>
            <w:tcW w:w="3237" w:type="dxa"/>
            <w:gridSpan w:val="2"/>
            <w:noWrap w:val="0"/>
            <w:vAlign w:val="center"/>
          </w:tcPr>
          <w:p w14:paraId="5F72EF83">
            <w:pPr>
              <w:spacing w:line="440" w:lineRule="exact"/>
              <w:ind w:firstLine="420" w:firstLineChars="200"/>
              <w:jc w:val="left"/>
              <w:rPr>
                <w:rFonts w:hint="eastAsia" w:ascii="宋体" w:hAnsi="宋体" w:cs="宋体"/>
                <w:color w:val="auto"/>
                <w:szCs w:val="21"/>
                <w:highlight w:val="none"/>
              </w:rPr>
            </w:pPr>
          </w:p>
        </w:tc>
      </w:tr>
      <w:tr w14:paraId="3FDAF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956" w:type="dxa"/>
            <w:noWrap w:val="0"/>
            <w:vAlign w:val="top"/>
          </w:tcPr>
          <w:p w14:paraId="100028ED">
            <w:pPr>
              <w:spacing w:line="440" w:lineRule="exact"/>
              <w:ind w:firstLine="420" w:firstLineChars="200"/>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3</w:t>
            </w:r>
          </w:p>
        </w:tc>
        <w:tc>
          <w:tcPr>
            <w:tcW w:w="4317" w:type="dxa"/>
            <w:noWrap w:val="0"/>
            <w:vAlign w:val="center"/>
          </w:tcPr>
          <w:p w14:paraId="12EB2767">
            <w:pPr>
              <w:spacing w:line="440" w:lineRule="exact"/>
              <w:ind w:firstLine="420" w:firstLineChars="200"/>
              <w:jc w:val="left"/>
              <w:rPr>
                <w:rFonts w:hint="eastAsia" w:ascii="宋体" w:hAnsi="宋体" w:cs="宋体"/>
                <w:color w:val="auto"/>
                <w:szCs w:val="21"/>
                <w:highlight w:val="none"/>
              </w:rPr>
            </w:pPr>
          </w:p>
        </w:tc>
        <w:tc>
          <w:tcPr>
            <w:tcW w:w="3237" w:type="dxa"/>
            <w:gridSpan w:val="2"/>
            <w:noWrap w:val="0"/>
            <w:vAlign w:val="center"/>
          </w:tcPr>
          <w:p w14:paraId="7E38F74E">
            <w:pPr>
              <w:spacing w:line="440" w:lineRule="exact"/>
              <w:ind w:firstLine="420" w:firstLineChars="200"/>
              <w:jc w:val="left"/>
              <w:rPr>
                <w:rFonts w:hint="eastAsia" w:ascii="宋体" w:hAnsi="宋体" w:cs="宋体"/>
                <w:color w:val="auto"/>
                <w:szCs w:val="21"/>
                <w:highlight w:val="none"/>
              </w:rPr>
            </w:pPr>
          </w:p>
        </w:tc>
      </w:tr>
      <w:tr w14:paraId="2FB90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956" w:type="dxa"/>
            <w:noWrap w:val="0"/>
            <w:vAlign w:val="top"/>
          </w:tcPr>
          <w:p w14:paraId="0CDDC4DE">
            <w:pPr>
              <w:spacing w:line="440" w:lineRule="exact"/>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w:t>
            </w:r>
          </w:p>
        </w:tc>
        <w:tc>
          <w:tcPr>
            <w:tcW w:w="4317" w:type="dxa"/>
            <w:noWrap w:val="0"/>
            <w:vAlign w:val="center"/>
          </w:tcPr>
          <w:p w14:paraId="17C683CA">
            <w:pPr>
              <w:spacing w:line="440" w:lineRule="exact"/>
              <w:ind w:firstLine="420" w:firstLineChars="200"/>
              <w:jc w:val="left"/>
              <w:rPr>
                <w:rFonts w:hint="eastAsia" w:ascii="宋体" w:hAnsi="宋体" w:cs="宋体"/>
                <w:color w:val="auto"/>
                <w:szCs w:val="21"/>
                <w:highlight w:val="none"/>
              </w:rPr>
            </w:pPr>
          </w:p>
        </w:tc>
        <w:tc>
          <w:tcPr>
            <w:tcW w:w="3237" w:type="dxa"/>
            <w:gridSpan w:val="2"/>
            <w:noWrap w:val="0"/>
            <w:vAlign w:val="center"/>
          </w:tcPr>
          <w:p w14:paraId="0E72DF5C">
            <w:pPr>
              <w:spacing w:line="440" w:lineRule="exact"/>
              <w:ind w:firstLine="420" w:firstLineChars="200"/>
              <w:jc w:val="left"/>
              <w:rPr>
                <w:rFonts w:hint="eastAsia" w:ascii="宋体" w:hAnsi="宋体" w:cs="宋体"/>
                <w:color w:val="auto"/>
                <w:szCs w:val="21"/>
                <w:highlight w:val="none"/>
              </w:rPr>
            </w:pPr>
          </w:p>
        </w:tc>
      </w:tr>
      <w:tr w14:paraId="08A39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noWrap w:val="0"/>
            <w:vAlign w:val="center"/>
          </w:tcPr>
          <w:p w14:paraId="65DEE47E">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总价</w:t>
            </w:r>
          </w:p>
        </w:tc>
        <w:tc>
          <w:tcPr>
            <w:tcW w:w="3237" w:type="dxa"/>
            <w:gridSpan w:val="2"/>
            <w:noWrap w:val="0"/>
            <w:vAlign w:val="center"/>
          </w:tcPr>
          <w:p w14:paraId="45C8214D">
            <w:pPr>
              <w:spacing w:line="440" w:lineRule="exact"/>
              <w:ind w:firstLine="420" w:firstLineChars="200"/>
              <w:jc w:val="left"/>
              <w:rPr>
                <w:rFonts w:hint="eastAsia" w:ascii="宋体" w:hAnsi="宋体" w:cs="宋体"/>
                <w:color w:val="auto"/>
                <w:szCs w:val="21"/>
                <w:highlight w:val="none"/>
              </w:rPr>
            </w:pPr>
          </w:p>
        </w:tc>
      </w:tr>
    </w:tbl>
    <w:p w14:paraId="06778113">
      <w:pPr>
        <w:spacing w:line="440" w:lineRule="exact"/>
        <w:ind w:firstLine="422" w:firstLineChars="200"/>
        <w:jc w:val="left"/>
        <w:outlineLvl w:val="3"/>
        <w:rPr>
          <w:rFonts w:hint="eastAsia" w:ascii="宋体" w:hAnsi="宋体" w:cs="宋体"/>
          <w:b/>
          <w:bCs/>
          <w:color w:val="auto"/>
          <w:szCs w:val="21"/>
          <w:highlight w:val="none"/>
          <w:lang w:val="zh-CN"/>
        </w:rPr>
      </w:pPr>
      <w:bookmarkStart w:id="44" w:name="_Toc22618"/>
      <w:bookmarkStart w:id="45" w:name="_Toc1814"/>
      <w:bookmarkStart w:id="46" w:name="_Toc10340"/>
      <w:r>
        <w:rPr>
          <w:rFonts w:hint="eastAsia" w:ascii="宋体" w:hAnsi="宋体" w:cs="宋体"/>
          <w:b/>
          <w:bCs/>
          <w:color w:val="auto"/>
          <w:szCs w:val="21"/>
          <w:highlight w:val="none"/>
          <w:lang w:val="zh-CN"/>
        </w:rPr>
        <w:t>1.4 付款方式和发票开具方式</w:t>
      </w:r>
      <w:bookmarkEnd w:id="44"/>
      <w:bookmarkEnd w:id="45"/>
      <w:bookmarkEnd w:id="46"/>
    </w:p>
    <w:p w14:paraId="518F5F40">
      <w:pPr>
        <w:pStyle w:val="100"/>
        <w:spacing w:before="0" w:beforeAutospacing="0" w:after="0" w:afterAutospacing="0" w:line="440" w:lineRule="exact"/>
        <w:ind w:firstLine="420" w:firstLineChars="200"/>
        <w:outlineLvl w:val="3"/>
        <w:rPr>
          <w:rFonts w:hint="eastAsia"/>
          <w:color w:val="auto"/>
          <w:sz w:val="21"/>
          <w:szCs w:val="21"/>
          <w:highlight w:val="none"/>
          <w:u w:val="single"/>
        </w:rPr>
      </w:pPr>
      <w:r>
        <w:rPr>
          <w:rFonts w:hint="eastAsia"/>
          <w:color w:val="auto"/>
          <w:sz w:val="21"/>
          <w:szCs w:val="21"/>
          <w:highlight w:val="none"/>
        </w:rPr>
        <w:t>1.4.1付款方式：</w:t>
      </w:r>
      <w:r>
        <w:rPr>
          <w:rFonts w:hint="eastAsia" w:ascii="宋体" w:hAnsi="宋体" w:eastAsia="宋体" w:cs="宋体"/>
          <w:color w:val="auto"/>
          <w:kern w:val="2"/>
          <w:sz w:val="21"/>
          <w:szCs w:val="21"/>
          <w:highlight w:val="none"/>
          <w:u w:val="single"/>
          <w:lang w:val="zh-CN" w:eastAsia="zh-CN" w:bidi="ar-SA"/>
        </w:rPr>
        <w:t>合同签订</w:t>
      </w:r>
      <w:r>
        <w:rPr>
          <w:rFonts w:hint="eastAsia" w:ascii="宋体" w:hAnsi="宋体" w:eastAsia="宋体" w:cs="宋体"/>
          <w:color w:val="auto"/>
          <w:kern w:val="2"/>
          <w:sz w:val="21"/>
          <w:szCs w:val="21"/>
          <w:highlight w:val="none"/>
          <w:u w:val="single"/>
          <w:lang w:val="en-US" w:eastAsia="zh-CN" w:bidi="ar-SA"/>
        </w:rPr>
        <w:t xml:space="preserve">后，完成所有档案数字化服务项目，经验收合格后付全款 </w:t>
      </w:r>
      <w:r>
        <w:rPr>
          <w:rFonts w:hint="eastAsia"/>
          <w:color w:val="auto"/>
          <w:sz w:val="21"/>
          <w:szCs w:val="21"/>
          <w:highlight w:val="none"/>
          <w:u w:val="single"/>
          <w:lang w:val="en-US" w:eastAsia="zh-CN"/>
        </w:rPr>
        <w:t>。</w:t>
      </w:r>
    </w:p>
    <w:p w14:paraId="2F52D2B1">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1.4.2发票开具方式：</w:t>
      </w:r>
      <w:r>
        <w:rPr>
          <w:rFonts w:hint="eastAsia" w:ascii="宋体" w:hAnsi="宋体" w:cs="宋体"/>
          <w:color w:val="auto"/>
          <w:szCs w:val="21"/>
          <w:highlight w:val="none"/>
          <w:u w:val="single"/>
        </w:rPr>
        <w:t xml:space="preserve">                 满足</w:t>
      </w:r>
      <w:r>
        <w:rPr>
          <w:rFonts w:hint="eastAsia" w:ascii="宋体" w:hAnsi="宋体" w:cs="宋体"/>
          <w:color w:val="auto"/>
          <w:szCs w:val="21"/>
          <w:highlight w:val="none"/>
          <w:u w:val="single"/>
          <w:lang w:eastAsia="zh-CN"/>
        </w:rPr>
        <w:t>采购人</w:t>
      </w:r>
      <w:r>
        <w:rPr>
          <w:rFonts w:hint="eastAsia" w:ascii="宋体" w:hAnsi="宋体" w:cs="宋体"/>
          <w:color w:val="auto"/>
          <w:szCs w:val="21"/>
          <w:highlight w:val="none"/>
          <w:u w:val="single"/>
        </w:rPr>
        <w:t xml:space="preserve">要求                </w:t>
      </w:r>
      <w:r>
        <w:rPr>
          <w:rFonts w:hint="eastAsia" w:ascii="宋体" w:hAnsi="宋体" w:cs="宋体"/>
          <w:color w:val="auto"/>
          <w:szCs w:val="21"/>
          <w:highlight w:val="none"/>
        </w:rPr>
        <w:t>。</w:t>
      </w:r>
    </w:p>
    <w:p w14:paraId="130E990A">
      <w:pPr>
        <w:spacing w:line="440" w:lineRule="exact"/>
        <w:ind w:firstLine="422" w:firstLineChars="200"/>
        <w:jc w:val="left"/>
        <w:outlineLvl w:val="3"/>
        <w:rPr>
          <w:rFonts w:hint="eastAsia" w:ascii="宋体" w:hAnsi="宋体" w:cs="宋体"/>
          <w:b/>
          <w:bCs/>
          <w:color w:val="auto"/>
          <w:szCs w:val="21"/>
          <w:highlight w:val="none"/>
          <w:lang w:val="zh-CN"/>
        </w:rPr>
      </w:pPr>
      <w:bookmarkStart w:id="47" w:name="_Toc32071"/>
      <w:bookmarkStart w:id="48" w:name="_Toc2846"/>
      <w:bookmarkStart w:id="49" w:name="_Toc19304"/>
      <w:r>
        <w:rPr>
          <w:rFonts w:hint="eastAsia" w:ascii="宋体" w:hAnsi="宋体" w:cs="宋体"/>
          <w:b/>
          <w:bCs/>
          <w:color w:val="auto"/>
          <w:szCs w:val="21"/>
          <w:highlight w:val="none"/>
          <w:lang w:val="zh-CN"/>
        </w:rPr>
        <w:t>1.5 服务期限、地点和方式</w:t>
      </w:r>
      <w:bookmarkEnd w:id="47"/>
      <w:bookmarkEnd w:id="48"/>
      <w:bookmarkEnd w:id="49"/>
    </w:p>
    <w:p w14:paraId="5199B098">
      <w:pPr>
        <w:autoSpaceDE w:val="0"/>
        <w:autoSpaceDN w:val="0"/>
        <w:adjustRightInd w:val="0"/>
        <w:spacing w:line="440" w:lineRule="exact"/>
        <w:ind w:firstLine="382" w:firstLineChars="182"/>
        <w:jc w:val="left"/>
        <w:outlineLvl w:val="4"/>
        <w:rPr>
          <w:rFonts w:hint="eastAsia" w:ascii="宋体" w:hAnsi="宋体" w:cs="宋体"/>
          <w:color w:val="auto"/>
          <w:szCs w:val="21"/>
          <w:highlight w:val="none"/>
          <w:u w:val="single"/>
        </w:rPr>
      </w:pPr>
      <w:r>
        <w:rPr>
          <w:rFonts w:hint="eastAsia" w:ascii="宋体" w:hAnsi="宋体" w:cs="宋体"/>
          <w:color w:val="auto"/>
          <w:szCs w:val="21"/>
          <w:highlight w:val="none"/>
        </w:rPr>
        <w:t>1.5.1服务期限：</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kern w:val="2"/>
          <w:sz w:val="21"/>
          <w:szCs w:val="21"/>
          <w:highlight w:val="none"/>
          <w:u w:val="single"/>
          <w:lang w:val="en-US" w:eastAsia="zh-CN" w:bidi="ar-SA"/>
        </w:rPr>
        <w:t xml:space="preserve">签订合同后120个日历天供货安装完毕； </w:t>
      </w:r>
    </w:p>
    <w:p w14:paraId="45C3CDFC">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1.5.2服务地点：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p>
    <w:p w14:paraId="1C028B5E">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1.5.3质量保证期及售后服务要求：</w:t>
      </w:r>
      <w:r>
        <w:rPr>
          <w:rFonts w:hint="eastAsia" w:ascii="宋体" w:hAnsi="宋体" w:cs="宋体"/>
          <w:color w:val="auto"/>
          <w:szCs w:val="21"/>
          <w:highlight w:val="none"/>
          <w:u w:val="single"/>
          <w:lang w:val="en-US" w:eastAsia="zh-CN"/>
        </w:rPr>
        <w:t xml:space="preserve">     满足招标人需求           </w:t>
      </w:r>
      <w:r>
        <w:rPr>
          <w:rFonts w:hint="eastAsia" w:ascii="宋体" w:hAnsi="宋体" w:cs="宋体"/>
          <w:color w:val="auto"/>
          <w:szCs w:val="21"/>
          <w:highlight w:val="none"/>
          <w:u w:val="single"/>
        </w:rPr>
        <w:t xml:space="preserve"> 。</w:t>
      </w:r>
    </w:p>
    <w:p w14:paraId="073C9328">
      <w:pPr>
        <w:spacing w:line="440" w:lineRule="exact"/>
        <w:ind w:firstLine="422" w:firstLineChars="200"/>
        <w:jc w:val="left"/>
        <w:outlineLvl w:val="3"/>
        <w:rPr>
          <w:rFonts w:hint="eastAsia" w:ascii="宋体" w:hAnsi="宋体" w:cs="宋体"/>
          <w:b/>
          <w:bCs/>
          <w:color w:val="auto"/>
          <w:szCs w:val="21"/>
          <w:highlight w:val="none"/>
          <w:lang w:val="zh-CN"/>
        </w:rPr>
      </w:pPr>
      <w:bookmarkStart w:id="50" w:name="_Toc19554"/>
      <w:bookmarkStart w:id="51" w:name="_Toc27250"/>
      <w:bookmarkStart w:id="52" w:name="_Toc21423"/>
      <w:r>
        <w:rPr>
          <w:rFonts w:hint="eastAsia" w:ascii="宋体" w:hAnsi="宋体" w:cs="宋体"/>
          <w:b/>
          <w:bCs/>
          <w:color w:val="auto"/>
          <w:szCs w:val="21"/>
          <w:highlight w:val="none"/>
          <w:lang w:val="zh-CN"/>
        </w:rPr>
        <w:t>1.6 违约责任</w:t>
      </w:r>
      <w:bookmarkEnd w:id="50"/>
      <w:bookmarkEnd w:id="51"/>
      <w:bookmarkEnd w:id="52"/>
    </w:p>
    <w:p w14:paraId="3A30EB7C">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1.6.1除不可抗力外，如果乙方没有按照本合同约定的期限、地点和方式履行，那么甲方可要求乙方支付违约金，违约金按每迟延履行一日的应提供而未提供服务价格的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%计算，最高限额为本合同总价的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%；迟延履行的违约金计算数额达到前述最高限额之日起，甲方有权在要求乙方支付违约金的同时，书面通知乙方解除本合同；</w:t>
      </w:r>
    </w:p>
    <w:p w14:paraId="385EB7E8">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1.6.2除不可抗力外，如果甲方没有按照本合同约定的付款方式付款，那么乙方可要求甲方支付违约金，违约金按每迟延付款一日的应付而未付款的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%计算，最高限额为本合同总价的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%；迟延付款的违约金计算数额达到前述最高限额之日起，乙方有权在要求甲方支付违约金的同时，书面通知甲方解除本合同；</w:t>
      </w:r>
    </w:p>
    <w:p w14:paraId="09A46464">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063F179C">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7A99DC55">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40689225">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1.6.6如果出现采购监督管理部门在处理投诉事项期间，书面通知甲方暂停采购活动的情形，或者询问或质疑事项可能影响中标结果的，导致甲方中止履行合同的情形，均不视为甲方违约。</w:t>
      </w:r>
    </w:p>
    <w:p w14:paraId="369DAC34">
      <w:pPr>
        <w:spacing w:line="440" w:lineRule="exact"/>
        <w:ind w:firstLine="422" w:firstLineChars="200"/>
        <w:jc w:val="left"/>
        <w:outlineLvl w:val="3"/>
        <w:rPr>
          <w:rFonts w:hint="eastAsia" w:ascii="宋体" w:hAnsi="宋体" w:cs="宋体"/>
          <w:b/>
          <w:bCs/>
          <w:color w:val="auto"/>
          <w:szCs w:val="21"/>
          <w:highlight w:val="none"/>
          <w:lang w:val="zh-CN"/>
        </w:rPr>
      </w:pPr>
      <w:bookmarkStart w:id="53" w:name="_Toc16021"/>
      <w:bookmarkStart w:id="54" w:name="_Toc15583"/>
      <w:bookmarkStart w:id="55" w:name="_Toc28375"/>
      <w:r>
        <w:rPr>
          <w:rFonts w:hint="eastAsia" w:ascii="宋体" w:hAnsi="宋体" w:cs="宋体"/>
          <w:b/>
          <w:bCs/>
          <w:color w:val="auto"/>
          <w:szCs w:val="21"/>
          <w:highlight w:val="none"/>
          <w:lang w:val="zh-CN"/>
        </w:rPr>
        <w:t>1.7 合同争议的解决</w:t>
      </w:r>
      <w:bookmarkEnd w:id="53"/>
      <w:bookmarkEnd w:id="54"/>
      <w:bookmarkEnd w:id="55"/>
    </w:p>
    <w:p w14:paraId="4D36E637">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本合同履行过程中发生的任何争议，双方当事人均可通过和解或者调解解决；不愿和解、调解或者和解、调解不成的，可以选择下列第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种方式解决：</w:t>
      </w:r>
    </w:p>
    <w:p w14:paraId="234E0B07">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1.7.1将争议提交滁州仲裁委员会依申请仲裁时其现行有效的仲裁规则裁决；</w:t>
      </w:r>
    </w:p>
    <w:p w14:paraId="73969679">
      <w:pPr>
        <w:spacing w:line="440" w:lineRule="exact"/>
        <w:ind w:firstLine="420" w:firstLineChars="200"/>
        <w:jc w:val="left"/>
        <w:outlineLvl w:val="4"/>
        <w:rPr>
          <w:rFonts w:hint="eastAsia" w:ascii="宋体" w:hAnsi="宋体" w:cs="宋体"/>
          <w:color w:val="auto"/>
          <w:szCs w:val="21"/>
          <w:highlight w:val="none"/>
        </w:rPr>
      </w:pPr>
      <w:r>
        <w:rPr>
          <w:rFonts w:hint="eastAsia" w:ascii="宋体" w:hAnsi="宋体" w:cs="宋体"/>
          <w:color w:val="auto"/>
          <w:szCs w:val="21"/>
          <w:highlight w:val="none"/>
        </w:rPr>
        <w:t>1.7.2向甲方（采购人）所在地人民法院起诉。</w:t>
      </w:r>
    </w:p>
    <w:p w14:paraId="5A249916">
      <w:pPr>
        <w:spacing w:line="440" w:lineRule="exact"/>
        <w:ind w:firstLine="437"/>
        <w:outlineLvl w:val="3"/>
        <w:rPr>
          <w:rFonts w:hint="eastAsia" w:ascii="宋体" w:hAnsi="宋体" w:cs="宋体"/>
          <w:b/>
          <w:bCs/>
          <w:color w:val="auto"/>
          <w:szCs w:val="21"/>
          <w:highlight w:val="none"/>
          <w:lang w:val="zh-CN"/>
        </w:rPr>
      </w:pPr>
      <w:bookmarkStart w:id="56" w:name="_Toc7245"/>
      <w:bookmarkStart w:id="57" w:name="_Toc15322"/>
      <w:bookmarkStart w:id="58" w:name="_Toc11173"/>
      <w:r>
        <w:rPr>
          <w:rFonts w:hint="eastAsia" w:ascii="宋体" w:hAnsi="宋体" w:cs="宋体"/>
          <w:b/>
          <w:bCs/>
          <w:color w:val="auto"/>
          <w:szCs w:val="21"/>
          <w:highlight w:val="none"/>
          <w:lang w:val="zh-CN"/>
        </w:rPr>
        <w:t>1.8 合同生效</w:t>
      </w:r>
      <w:bookmarkEnd w:id="56"/>
      <w:bookmarkEnd w:id="57"/>
      <w:bookmarkEnd w:id="58"/>
    </w:p>
    <w:p w14:paraId="27699E19">
      <w:pPr>
        <w:spacing w:line="440" w:lineRule="exact"/>
        <w:ind w:firstLine="435"/>
        <w:rPr>
          <w:rFonts w:hint="eastAsia" w:ascii="宋体" w:hAnsi="宋体" w:cs="宋体"/>
          <w:color w:val="auto"/>
          <w:szCs w:val="21"/>
          <w:highlight w:val="none"/>
          <w:lang w:val="zh-CN"/>
        </w:rPr>
      </w:pPr>
      <w:r>
        <w:rPr>
          <w:rFonts w:hint="eastAsia" w:ascii="宋体" w:hAnsi="宋体" w:cs="宋体"/>
          <w:color w:val="auto"/>
          <w:szCs w:val="21"/>
          <w:highlight w:val="none"/>
        </w:rPr>
        <w:t>本合同自双方当事人盖章时生效。</w:t>
      </w:r>
    </w:p>
    <w:p w14:paraId="3FBBCE04">
      <w:pPr>
        <w:autoSpaceDE w:val="0"/>
        <w:autoSpaceDN w:val="0"/>
        <w:adjustRightInd w:val="0"/>
        <w:spacing w:line="440" w:lineRule="exact"/>
        <w:rPr>
          <w:rFonts w:hint="eastAsia" w:ascii="宋体" w:hAnsi="宋体" w:cs="宋体"/>
          <w:color w:val="auto"/>
          <w:szCs w:val="21"/>
          <w:highlight w:val="none"/>
          <w:lang w:val="zh-CN"/>
        </w:rPr>
      </w:pPr>
    </w:p>
    <w:p w14:paraId="4C903325">
      <w:pPr>
        <w:autoSpaceDE w:val="0"/>
        <w:autoSpaceDN w:val="0"/>
        <w:adjustRightInd w:val="0"/>
        <w:spacing w:line="440" w:lineRule="exact"/>
        <w:rPr>
          <w:rFonts w:hint="eastAsia" w:ascii="宋体" w:hAnsi="宋体" w:cs="宋体"/>
          <w:bCs/>
          <w:color w:val="auto"/>
          <w:szCs w:val="21"/>
          <w:highlight w:val="none"/>
          <w:lang w:val="zh-CN"/>
        </w:rPr>
      </w:pPr>
      <w:r>
        <w:rPr>
          <w:rFonts w:hint="eastAsia" w:ascii="宋体" w:hAnsi="宋体" w:cs="宋体"/>
          <w:bCs/>
          <w:color w:val="auto"/>
          <w:szCs w:val="21"/>
          <w:highlight w:val="none"/>
          <w:lang w:val="zh-CN"/>
        </w:rPr>
        <w:t>甲    方：</w:t>
      </w:r>
      <w:r>
        <w:rPr>
          <w:rFonts w:hint="eastAsia" w:ascii="宋体" w:hAnsi="宋体" w:cs="宋体"/>
          <w:bCs/>
          <w:color w:val="auto"/>
          <w:szCs w:val="21"/>
          <w:highlight w:val="none"/>
          <w:u w:val="single"/>
          <w:lang w:val="zh-CN"/>
        </w:rPr>
        <w:t xml:space="preserve">    （单位盖章）     </w:t>
      </w:r>
      <w:r>
        <w:rPr>
          <w:rFonts w:hint="eastAsia" w:ascii="宋体" w:hAnsi="宋体" w:cs="宋体"/>
          <w:bCs/>
          <w:color w:val="auto"/>
          <w:szCs w:val="21"/>
          <w:highlight w:val="none"/>
          <w:lang w:val="zh-CN"/>
        </w:rPr>
        <w:t xml:space="preserve">          乙</w:t>
      </w:r>
      <w:r>
        <w:rPr>
          <w:rFonts w:hint="eastAsia" w:ascii="宋体" w:hAnsi="宋体" w:cs="宋体"/>
          <w:bCs/>
          <w:color w:val="auto"/>
          <w:szCs w:val="21"/>
          <w:highlight w:val="none"/>
        </w:rPr>
        <w:t xml:space="preserve">    </w:t>
      </w:r>
      <w:r>
        <w:rPr>
          <w:rFonts w:hint="eastAsia" w:ascii="宋体" w:hAnsi="宋体" w:cs="宋体"/>
          <w:bCs/>
          <w:color w:val="auto"/>
          <w:szCs w:val="21"/>
          <w:highlight w:val="none"/>
          <w:lang w:val="zh-CN"/>
        </w:rPr>
        <w:t>方：</w:t>
      </w:r>
      <w:r>
        <w:rPr>
          <w:rFonts w:hint="eastAsia" w:ascii="宋体" w:hAnsi="宋体" w:cs="宋体"/>
          <w:bCs/>
          <w:color w:val="auto"/>
          <w:szCs w:val="21"/>
          <w:highlight w:val="none"/>
          <w:u w:val="single"/>
          <w:lang w:val="zh-CN"/>
        </w:rPr>
        <w:t xml:space="preserve">    （单位盖章）     </w:t>
      </w:r>
    </w:p>
    <w:p w14:paraId="28289A44">
      <w:pPr>
        <w:autoSpaceDE w:val="0"/>
        <w:autoSpaceDN w:val="0"/>
        <w:adjustRightInd w:val="0"/>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法定代表人                               法定代表人</w:t>
      </w:r>
    </w:p>
    <w:p w14:paraId="720CBA33">
      <w:pPr>
        <w:autoSpaceDE w:val="0"/>
        <w:autoSpaceDN w:val="0"/>
        <w:adjustRightInd w:val="0"/>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或授权代表（签字）：                     或授权代表（签字）：</w:t>
      </w:r>
    </w:p>
    <w:p w14:paraId="68EB1E69">
      <w:pPr>
        <w:spacing w:line="440" w:lineRule="exact"/>
        <w:jc w:val="left"/>
        <w:rPr>
          <w:rFonts w:hint="eastAsia" w:ascii="宋体" w:hAnsi="宋体" w:cs="宋体"/>
          <w:bCs/>
          <w:color w:val="auto"/>
          <w:szCs w:val="21"/>
          <w:highlight w:val="none"/>
        </w:rPr>
      </w:pPr>
      <w:bookmarkStart w:id="59" w:name="_Toc331685783"/>
      <w:r>
        <w:rPr>
          <w:rFonts w:hint="eastAsia" w:ascii="宋体" w:hAnsi="宋体" w:cs="宋体"/>
          <w:bCs/>
          <w:color w:val="auto"/>
          <w:szCs w:val="21"/>
          <w:highlight w:val="none"/>
        </w:rPr>
        <w:t>时间：</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年</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月</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日               时间：</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年</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月</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日</w:t>
      </w:r>
    </w:p>
    <w:p w14:paraId="1D6FD359">
      <w:pPr>
        <w:spacing w:before="156" w:beforeLines="50" w:after="156" w:afterLines="50" w:line="440" w:lineRule="exact"/>
        <w:jc w:val="center"/>
        <w:outlineLvl w:val="4"/>
        <w:rPr>
          <w:b/>
          <w:color w:val="auto"/>
          <w:sz w:val="28"/>
          <w:szCs w:val="28"/>
          <w:highlight w:val="none"/>
        </w:rPr>
      </w:pPr>
      <w:r>
        <w:rPr>
          <w:b/>
          <w:color w:val="auto"/>
          <w:szCs w:val="21"/>
          <w:highlight w:val="none"/>
        </w:rPr>
        <w:br w:type="page"/>
      </w:r>
      <w:r>
        <w:rPr>
          <w:b/>
          <w:color w:val="auto"/>
          <w:sz w:val="28"/>
          <w:szCs w:val="28"/>
          <w:highlight w:val="none"/>
        </w:rPr>
        <w:t>第二部分 合同一般条款</w:t>
      </w:r>
      <w:bookmarkEnd w:id="59"/>
    </w:p>
    <w:p w14:paraId="04D2AE12">
      <w:pPr>
        <w:spacing w:line="440" w:lineRule="exact"/>
        <w:ind w:firstLine="422" w:firstLineChars="200"/>
        <w:outlineLvl w:val="3"/>
        <w:rPr>
          <w:rFonts w:hint="eastAsia" w:ascii="宋体" w:hAnsi="宋体" w:cs="宋体"/>
          <w:b/>
          <w:bCs/>
          <w:color w:val="auto"/>
          <w:szCs w:val="21"/>
          <w:highlight w:val="none"/>
          <w:lang w:val="zh-CN"/>
        </w:rPr>
      </w:pPr>
      <w:bookmarkStart w:id="60" w:name="_Toc487900349"/>
      <w:bookmarkStart w:id="61" w:name="_Ref467379109"/>
      <w:bookmarkStart w:id="62" w:name="_Toc19614"/>
      <w:bookmarkStart w:id="63" w:name="_Ref467378499"/>
      <w:bookmarkStart w:id="64" w:name="_Ref467378463"/>
      <w:bookmarkStart w:id="65" w:name="_Toc259093669"/>
      <w:bookmarkStart w:id="66" w:name="_Ref467379094"/>
      <w:bookmarkStart w:id="67" w:name="_Ref467379214"/>
      <w:bookmarkStart w:id="68" w:name="_Ref467379225"/>
      <w:bookmarkStart w:id="69" w:name="_Toc28763"/>
      <w:bookmarkStart w:id="70" w:name="_Toc16917"/>
      <w:bookmarkStart w:id="71" w:name="_Toc279701240"/>
      <w:bookmarkStart w:id="72" w:name="_Ref467379101"/>
      <w:bookmarkStart w:id="73" w:name="_Ref467379195"/>
      <w:bookmarkStart w:id="74" w:name="_Ref467378404"/>
      <w:bookmarkStart w:id="75" w:name="_Ref467379205"/>
      <w:r>
        <w:rPr>
          <w:rFonts w:hint="eastAsia" w:ascii="宋体" w:hAnsi="宋体" w:cs="宋体"/>
          <w:b/>
          <w:bCs/>
          <w:color w:val="auto"/>
          <w:szCs w:val="21"/>
          <w:highlight w:val="none"/>
          <w:lang w:val="zh-CN"/>
        </w:rPr>
        <w:t>2.1 定义</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0F33CEEA">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本合同中的下列词语应按以下内容进行解释：</w:t>
      </w:r>
    </w:p>
    <w:p w14:paraId="0D13DF90">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2.1.1“合同”系指采购人和</w:t>
      </w:r>
      <w:r>
        <w:rPr>
          <w:rFonts w:hint="eastAsia" w:ascii="宋体" w:hAnsi="宋体" w:cs="宋体"/>
          <w:color w:val="auto"/>
          <w:szCs w:val="21"/>
          <w:highlight w:val="none"/>
          <w:lang w:eastAsia="zh-CN"/>
        </w:rPr>
        <w:t>成交人</w:t>
      </w:r>
      <w:r>
        <w:rPr>
          <w:rFonts w:hint="eastAsia" w:ascii="宋体" w:hAnsi="宋体" w:cs="宋体"/>
          <w:color w:val="auto"/>
          <w:szCs w:val="21"/>
          <w:highlight w:val="none"/>
        </w:rPr>
        <w:t>签订的载明双方当事人所达成的协议，并包括所有的附件、附录和构成合同的其他文件。</w:t>
      </w:r>
    </w:p>
    <w:p w14:paraId="4E850FB8">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2.1.2“合同价”系指根据合同约定，</w:t>
      </w:r>
      <w:r>
        <w:rPr>
          <w:rFonts w:hint="eastAsia" w:ascii="宋体" w:hAnsi="宋体" w:cs="宋体"/>
          <w:color w:val="auto"/>
          <w:szCs w:val="21"/>
          <w:highlight w:val="none"/>
          <w:lang w:eastAsia="zh-CN"/>
        </w:rPr>
        <w:t>成交人</w:t>
      </w:r>
      <w:r>
        <w:rPr>
          <w:rFonts w:hint="eastAsia" w:ascii="宋体" w:hAnsi="宋体" w:cs="宋体"/>
          <w:color w:val="auto"/>
          <w:szCs w:val="21"/>
          <w:highlight w:val="none"/>
        </w:rPr>
        <w:t>在完全履行合同义务后，采购人应支付给</w:t>
      </w:r>
      <w:r>
        <w:rPr>
          <w:rFonts w:hint="eastAsia" w:ascii="宋体" w:hAnsi="宋体" w:cs="宋体"/>
          <w:color w:val="auto"/>
          <w:szCs w:val="21"/>
          <w:highlight w:val="none"/>
          <w:lang w:eastAsia="zh-CN"/>
        </w:rPr>
        <w:t>成交人</w:t>
      </w:r>
      <w:r>
        <w:rPr>
          <w:rFonts w:hint="eastAsia" w:ascii="宋体" w:hAnsi="宋体" w:cs="宋体"/>
          <w:color w:val="auto"/>
          <w:szCs w:val="21"/>
          <w:highlight w:val="none"/>
        </w:rPr>
        <w:t>的价格。</w:t>
      </w:r>
    </w:p>
    <w:p w14:paraId="5C3E06AD">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2.1.3“服务”系指</w:t>
      </w:r>
      <w:r>
        <w:rPr>
          <w:rFonts w:hint="eastAsia" w:ascii="宋体" w:hAnsi="宋体" w:cs="宋体"/>
          <w:color w:val="auto"/>
          <w:szCs w:val="21"/>
          <w:highlight w:val="none"/>
          <w:lang w:eastAsia="zh-CN"/>
        </w:rPr>
        <w:t>成交人</w:t>
      </w:r>
      <w:r>
        <w:rPr>
          <w:rFonts w:hint="eastAsia" w:ascii="宋体" w:hAnsi="宋体" w:cs="宋体"/>
          <w:color w:val="auto"/>
          <w:szCs w:val="21"/>
          <w:highlight w:val="none"/>
        </w:rPr>
        <w:t>根据合同约定应向采购人履行的除货物和工程以外的其他采购对象，包括采购人自身需要的服务和向社会公众提供的公共服务。</w:t>
      </w:r>
    </w:p>
    <w:p w14:paraId="273DFE12">
      <w:pPr>
        <w:spacing w:line="440" w:lineRule="exact"/>
        <w:ind w:firstLine="420" w:firstLineChars="200"/>
        <w:rPr>
          <w:rFonts w:hint="eastAsia" w:ascii="宋体" w:hAnsi="宋体" w:cs="宋体"/>
          <w:color w:val="auto"/>
          <w:szCs w:val="21"/>
          <w:highlight w:val="none"/>
        </w:rPr>
      </w:pPr>
      <w:bookmarkStart w:id="76" w:name="_Ref467378840"/>
      <w:r>
        <w:rPr>
          <w:rFonts w:hint="eastAsia" w:ascii="宋体" w:hAnsi="宋体" w:cs="宋体"/>
          <w:color w:val="auto"/>
          <w:szCs w:val="21"/>
          <w:highlight w:val="none"/>
        </w:rPr>
        <w:t>2.1.4“甲方”系指与</w:t>
      </w:r>
      <w:r>
        <w:rPr>
          <w:rFonts w:hint="eastAsia" w:ascii="宋体" w:hAnsi="宋体" w:cs="宋体"/>
          <w:color w:val="auto"/>
          <w:szCs w:val="21"/>
          <w:highlight w:val="none"/>
          <w:lang w:eastAsia="zh-CN"/>
        </w:rPr>
        <w:t>成交人</w:t>
      </w:r>
      <w:r>
        <w:rPr>
          <w:rFonts w:hint="eastAsia" w:ascii="宋体" w:hAnsi="宋体" w:cs="宋体"/>
          <w:color w:val="auto"/>
          <w:szCs w:val="21"/>
          <w:highlight w:val="none"/>
        </w:rPr>
        <w:t>签署合同的采购人</w:t>
      </w:r>
      <w:bookmarkEnd w:id="76"/>
      <w:r>
        <w:rPr>
          <w:rFonts w:hint="eastAsia" w:ascii="宋体" w:hAnsi="宋体" w:cs="宋体"/>
          <w:color w:val="auto"/>
          <w:szCs w:val="21"/>
          <w:highlight w:val="none"/>
        </w:rPr>
        <w:t>；采购人委托采购代理机构代表其与乙方签订合同的，采购人的授权委托书作为合同附件。</w:t>
      </w:r>
    </w:p>
    <w:p w14:paraId="454E97E9">
      <w:pPr>
        <w:spacing w:line="440" w:lineRule="exact"/>
        <w:ind w:firstLine="420" w:firstLineChars="200"/>
        <w:rPr>
          <w:rFonts w:hint="eastAsia" w:ascii="宋体" w:hAnsi="宋体" w:cs="宋体"/>
          <w:color w:val="auto"/>
          <w:szCs w:val="21"/>
          <w:highlight w:val="none"/>
        </w:rPr>
      </w:pPr>
      <w:bookmarkStart w:id="77" w:name="_Ref467379400"/>
      <w:r>
        <w:rPr>
          <w:rFonts w:hint="eastAsia" w:ascii="宋体" w:hAnsi="宋体" w:cs="宋体"/>
          <w:color w:val="auto"/>
          <w:szCs w:val="21"/>
          <w:highlight w:val="none"/>
        </w:rPr>
        <w:t>2.1.5“乙方”系指根据合同约定提供服务的</w:t>
      </w:r>
      <w:bookmarkEnd w:id="77"/>
      <w:r>
        <w:rPr>
          <w:rFonts w:hint="eastAsia" w:ascii="宋体" w:hAnsi="宋体" w:cs="宋体"/>
          <w:color w:val="auto"/>
          <w:szCs w:val="21"/>
          <w:highlight w:val="none"/>
          <w:lang w:eastAsia="zh-CN"/>
        </w:rPr>
        <w:t>成交人</w:t>
      </w:r>
      <w:r>
        <w:rPr>
          <w:rFonts w:hint="eastAsia" w:ascii="宋体" w:hAnsi="宋体" w:cs="宋体"/>
          <w:color w:val="auto"/>
          <w:szCs w:val="21"/>
          <w:highlight w:val="none"/>
        </w:rPr>
        <w:t>；两个以上的自然人、法人或者其他组织组成一个联合体，以一个供应商的身份共同参加采购的，联合体各方均应为乙方或者与乙方相同地位的合同当事人，并就合同约定的事项对甲方承担连带责任。</w:t>
      </w:r>
    </w:p>
    <w:p w14:paraId="0D32FB4A">
      <w:pPr>
        <w:spacing w:line="440" w:lineRule="exact"/>
        <w:ind w:firstLine="420" w:firstLineChars="200"/>
        <w:outlineLvl w:val="4"/>
        <w:rPr>
          <w:rFonts w:hint="eastAsia" w:ascii="宋体" w:hAnsi="宋体" w:cs="宋体"/>
          <w:color w:val="auto"/>
          <w:szCs w:val="21"/>
          <w:highlight w:val="none"/>
        </w:rPr>
      </w:pPr>
      <w:bookmarkStart w:id="78" w:name="_Ref467379436"/>
      <w:r>
        <w:rPr>
          <w:rFonts w:hint="eastAsia" w:ascii="宋体" w:hAnsi="宋体" w:cs="宋体"/>
          <w:color w:val="auto"/>
          <w:szCs w:val="21"/>
          <w:highlight w:val="none"/>
        </w:rPr>
        <w:t>2.1.6“现场”系指合同约定提供服务的地点。</w:t>
      </w:r>
      <w:bookmarkEnd w:id="78"/>
    </w:p>
    <w:p w14:paraId="7947A94F">
      <w:pPr>
        <w:spacing w:line="440" w:lineRule="exact"/>
        <w:ind w:firstLine="422" w:firstLineChars="200"/>
        <w:outlineLvl w:val="3"/>
        <w:rPr>
          <w:rFonts w:hint="eastAsia" w:ascii="宋体" w:hAnsi="宋体" w:cs="宋体"/>
          <w:b/>
          <w:bCs/>
          <w:color w:val="auto"/>
          <w:szCs w:val="21"/>
          <w:highlight w:val="none"/>
          <w:lang w:val="zh-CN"/>
        </w:rPr>
      </w:pPr>
      <w:bookmarkStart w:id="79" w:name="_Toc279701241"/>
      <w:bookmarkStart w:id="80" w:name="_Toc259093670"/>
      <w:bookmarkStart w:id="81" w:name="_Toc487900350"/>
      <w:bookmarkStart w:id="82" w:name="_Toc27635"/>
      <w:bookmarkStart w:id="83" w:name="_Toc13336"/>
      <w:bookmarkStart w:id="84" w:name="_Toc32504"/>
      <w:r>
        <w:rPr>
          <w:rFonts w:hint="eastAsia" w:ascii="宋体" w:hAnsi="宋体" w:cs="宋体"/>
          <w:b/>
          <w:bCs/>
          <w:color w:val="auto"/>
          <w:szCs w:val="21"/>
          <w:highlight w:val="none"/>
          <w:lang w:val="zh-CN"/>
        </w:rPr>
        <w:t>2.2 技术规范</w:t>
      </w:r>
      <w:bookmarkEnd w:id="79"/>
      <w:bookmarkEnd w:id="80"/>
      <w:bookmarkEnd w:id="81"/>
      <w:bookmarkEnd w:id="82"/>
      <w:bookmarkEnd w:id="83"/>
      <w:bookmarkEnd w:id="84"/>
    </w:p>
    <w:p w14:paraId="1F65665C">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30685C7F">
      <w:pPr>
        <w:spacing w:line="440" w:lineRule="exact"/>
        <w:ind w:firstLine="422" w:firstLineChars="200"/>
        <w:outlineLvl w:val="3"/>
        <w:rPr>
          <w:rFonts w:hint="eastAsia" w:ascii="宋体" w:hAnsi="宋体" w:cs="宋体"/>
          <w:b/>
          <w:bCs/>
          <w:color w:val="auto"/>
          <w:szCs w:val="21"/>
          <w:highlight w:val="none"/>
          <w:lang w:val="zh-CN"/>
        </w:rPr>
      </w:pPr>
      <w:bookmarkStart w:id="85" w:name="_Toc487900351"/>
      <w:bookmarkStart w:id="86" w:name="_Toc259093671"/>
      <w:bookmarkStart w:id="87" w:name="_Toc27853"/>
      <w:bookmarkStart w:id="88" w:name="_Toc279701242"/>
      <w:bookmarkStart w:id="89" w:name="_Toc31634"/>
      <w:bookmarkStart w:id="90" w:name="_Toc9829"/>
      <w:r>
        <w:rPr>
          <w:rFonts w:hint="eastAsia" w:ascii="宋体" w:hAnsi="宋体" w:cs="宋体"/>
          <w:b/>
          <w:bCs/>
          <w:color w:val="auto"/>
          <w:szCs w:val="21"/>
          <w:highlight w:val="none"/>
          <w:lang w:val="zh-CN"/>
        </w:rPr>
        <w:t>2.3 知识产权</w:t>
      </w:r>
      <w:bookmarkEnd w:id="85"/>
      <w:bookmarkEnd w:id="86"/>
      <w:bookmarkEnd w:id="87"/>
      <w:bookmarkEnd w:id="88"/>
      <w:bookmarkEnd w:id="89"/>
      <w:bookmarkEnd w:id="90"/>
    </w:p>
    <w:p w14:paraId="483D4E68">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222D954D">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2.3.2具有知识产权的计算机软件等货物的知识产权归属，详见</w:t>
      </w:r>
      <w:r>
        <w:rPr>
          <w:rFonts w:hint="eastAsia" w:ascii="宋体" w:hAnsi="宋体" w:cs="宋体"/>
          <w:b/>
          <w:i/>
          <w:color w:val="auto"/>
          <w:szCs w:val="21"/>
          <w:highlight w:val="none"/>
          <w:u w:val="single"/>
        </w:rPr>
        <w:t>合同专用条款</w:t>
      </w:r>
      <w:r>
        <w:rPr>
          <w:rFonts w:hint="eastAsia" w:ascii="宋体" w:hAnsi="宋体" w:cs="宋体"/>
          <w:color w:val="auto"/>
          <w:szCs w:val="21"/>
          <w:highlight w:val="none"/>
        </w:rPr>
        <w:t>。</w:t>
      </w:r>
    </w:p>
    <w:p w14:paraId="03825AFB">
      <w:pPr>
        <w:spacing w:line="440" w:lineRule="exact"/>
        <w:ind w:firstLine="422" w:firstLineChars="200"/>
        <w:outlineLvl w:val="3"/>
        <w:rPr>
          <w:rFonts w:hint="eastAsia" w:ascii="宋体" w:hAnsi="宋体" w:cs="宋体"/>
          <w:b/>
          <w:bCs/>
          <w:color w:val="auto"/>
          <w:szCs w:val="21"/>
          <w:highlight w:val="none"/>
          <w:lang w:val="zh-CN"/>
        </w:rPr>
      </w:pPr>
      <w:bookmarkStart w:id="91" w:name="_Toc259093674"/>
      <w:bookmarkStart w:id="92" w:name="_Toc279701245"/>
      <w:bookmarkStart w:id="93" w:name="_Ref467379527"/>
      <w:bookmarkStart w:id="94" w:name="_Ref467378541"/>
      <w:bookmarkStart w:id="95" w:name="_Ref467379536"/>
      <w:bookmarkStart w:id="96" w:name="_Ref467379542"/>
      <w:bookmarkStart w:id="97" w:name="_Ref467378591"/>
      <w:bookmarkStart w:id="98" w:name="_Toc487900354"/>
      <w:bookmarkStart w:id="99" w:name="_Toc19074"/>
      <w:bookmarkStart w:id="100" w:name="_Toc26182"/>
      <w:bookmarkStart w:id="101" w:name="_Toc30272"/>
      <w:r>
        <w:rPr>
          <w:rFonts w:hint="eastAsia" w:ascii="宋体" w:hAnsi="宋体" w:cs="宋体"/>
          <w:b/>
          <w:bCs/>
          <w:color w:val="auto"/>
          <w:szCs w:val="21"/>
          <w:highlight w:val="none"/>
          <w:lang w:val="zh-CN"/>
        </w:rPr>
        <w:t>2.</w:t>
      </w:r>
      <w:bookmarkEnd w:id="91"/>
      <w:bookmarkEnd w:id="92"/>
      <w:bookmarkEnd w:id="93"/>
      <w:bookmarkEnd w:id="94"/>
      <w:bookmarkEnd w:id="95"/>
      <w:bookmarkEnd w:id="96"/>
      <w:bookmarkEnd w:id="97"/>
      <w:bookmarkEnd w:id="98"/>
      <w:r>
        <w:rPr>
          <w:rFonts w:hint="eastAsia" w:ascii="宋体" w:hAnsi="宋体" w:cs="宋体"/>
          <w:b/>
          <w:bCs/>
          <w:color w:val="auto"/>
          <w:szCs w:val="21"/>
          <w:highlight w:val="none"/>
          <w:lang w:val="zh-CN"/>
        </w:rPr>
        <w:t>4 履约检查和问题反馈</w:t>
      </w:r>
      <w:bookmarkEnd w:id="99"/>
      <w:bookmarkEnd w:id="100"/>
      <w:bookmarkEnd w:id="101"/>
    </w:p>
    <w:p w14:paraId="14C75FC2">
      <w:pPr>
        <w:spacing w:line="440" w:lineRule="exact"/>
        <w:ind w:firstLine="420" w:firstLineChars="200"/>
        <w:rPr>
          <w:rFonts w:hint="eastAsia" w:ascii="宋体" w:hAnsi="宋体" w:cs="宋体"/>
          <w:color w:val="auto"/>
          <w:szCs w:val="21"/>
          <w:highlight w:val="none"/>
        </w:rPr>
      </w:pPr>
      <w:bookmarkStart w:id="102" w:name="_Toc186431854"/>
      <w:bookmarkStart w:id="103" w:name="_Ref467379807"/>
      <w:bookmarkStart w:id="104" w:name="_Toc259093676"/>
      <w:bookmarkStart w:id="105" w:name="_Toc279701247"/>
      <w:bookmarkStart w:id="106" w:name="_Toc487900357"/>
      <w:bookmarkStart w:id="107" w:name="_Ref467379793"/>
      <w:r>
        <w:rPr>
          <w:rFonts w:hint="eastAsia" w:ascii="宋体" w:hAnsi="宋体" w:cs="宋体"/>
          <w:color w:val="auto"/>
          <w:szCs w:val="21"/>
          <w:highlight w:val="none"/>
        </w:rPr>
        <w:t>2.4.1甲方有权在其认为必要时，对乙方是否能够按照合同约定提供服务进行履约检查，以确保乙方所提供的服务能够依约满足甲方项目需求，但不得因履约检查妨碍乙方的正常工作，乙方应予积极配合；</w:t>
      </w:r>
    </w:p>
    <w:p w14:paraId="296CF416">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2.4.2合同履行期间，甲方有权将履行过程中出现的问题反馈给乙方，双方当事人应以书面形式约定需要完善和改进的内容</w:t>
      </w:r>
      <w:bookmarkEnd w:id="102"/>
      <w:bookmarkStart w:id="108" w:name="_Toc186431855"/>
      <w:r>
        <w:rPr>
          <w:rFonts w:hint="eastAsia" w:ascii="宋体" w:hAnsi="宋体" w:cs="宋体"/>
          <w:color w:val="auto"/>
          <w:szCs w:val="21"/>
          <w:highlight w:val="none"/>
        </w:rPr>
        <w:t>。</w:t>
      </w:r>
    </w:p>
    <w:bookmarkEnd w:id="108"/>
    <w:p w14:paraId="1371B2A5">
      <w:pPr>
        <w:spacing w:line="440" w:lineRule="exact"/>
        <w:ind w:firstLine="422" w:firstLineChars="200"/>
        <w:outlineLvl w:val="3"/>
        <w:rPr>
          <w:rFonts w:hint="eastAsia" w:ascii="宋体" w:hAnsi="宋体" w:cs="宋体"/>
          <w:b/>
          <w:bCs/>
          <w:color w:val="auto"/>
          <w:szCs w:val="21"/>
          <w:highlight w:val="none"/>
          <w:lang w:val="zh-CN"/>
        </w:rPr>
      </w:pPr>
      <w:bookmarkStart w:id="109" w:name="_Toc19219"/>
      <w:bookmarkStart w:id="110" w:name="_Toc7836"/>
      <w:bookmarkStart w:id="111" w:name="_Toc28451"/>
      <w:r>
        <w:rPr>
          <w:rFonts w:hint="eastAsia" w:ascii="宋体" w:hAnsi="宋体" w:cs="宋体"/>
          <w:b/>
          <w:bCs/>
          <w:color w:val="auto"/>
          <w:szCs w:val="21"/>
          <w:highlight w:val="none"/>
          <w:lang w:val="zh-CN"/>
        </w:rPr>
        <w:t>2.5 结算方式和付款条件</w:t>
      </w:r>
      <w:bookmarkEnd w:id="103"/>
      <w:bookmarkEnd w:id="104"/>
      <w:bookmarkEnd w:id="105"/>
      <w:bookmarkEnd w:id="106"/>
      <w:bookmarkEnd w:id="107"/>
      <w:bookmarkEnd w:id="109"/>
      <w:bookmarkEnd w:id="110"/>
      <w:bookmarkEnd w:id="111"/>
    </w:p>
    <w:p w14:paraId="16220562">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详见</w:t>
      </w:r>
      <w:r>
        <w:rPr>
          <w:rFonts w:hint="eastAsia" w:ascii="宋体" w:hAnsi="宋体" w:cs="宋体"/>
          <w:b/>
          <w:i/>
          <w:color w:val="auto"/>
          <w:szCs w:val="21"/>
          <w:highlight w:val="none"/>
          <w:u w:val="single"/>
        </w:rPr>
        <w:t>合同专用条款</w:t>
      </w:r>
      <w:r>
        <w:rPr>
          <w:rFonts w:hint="eastAsia" w:ascii="宋体" w:hAnsi="宋体" w:cs="宋体"/>
          <w:color w:val="auto"/>
          <w:szCs w:val="21"/>
          <w:highlight w:val="none"/>
        </w:rPr>
        <w:t>。</w:t>
      </w:r>
    </w:p>
    <w:p w14:paraId="7481A2A5">
      <w:pPr>
        <w:spacing w:line="440" w:lineRule="exact"/>
        <w:ind w:firstLine="422" w:firstLineChars="200"/>
        <w:outlineLvl w:val="3"/>
        <w:rPr>
          <w:rFonts w:hint="eastAsia" w:ascii="宋体" w:hAnsi="宋体" w:cs="宋体"/>
          <w:b/>
          <w:bCs/>
          <w:color w:val="auto"/>
          <w:szCs w:val="21"/>
          <w:highlight w:val="none"/>
          <w:lang w:val="zh-CN"/>
        </w:rPr>
      </w:pPr>
      <w:bookmarkStart w:id="112" w:name="_Toc487900358"/>
      <w:bookmarkStart w:id="113" w:name="_Toc259093677"/>
      <w:bookmarkStart w:id="114" w:name="_Ref467379923"/>
      <w:bookmarkStart w:id="115" w:name="_Ref467379852"/>
      <w:bookmarkStart w:id="116" w:name="_Ref467379863"/>
      <w:bookmarkStart w:id="117" w:name="_Toc279701248"/>
      <w:bookmarkStart w:id="118" w:name="_Toc774"/>
      <w:bookmarkStart w:id="119" w:name="_Toc3225"/>
      <w:bookmarkStart w:id="120" w:name="_Toc16110"/>
      <w:r>
        <w:rPr>
          <w:rFonts w:hint="eastAsia" w:ascii="宋体" w:hAnsi="宋体" w:cs="宋体"/>
          <w:b/>
          <w:bCs/>
          <w:color w:val="auto"/>
          <w:szCs w:val="21"/>
          <w:highlight w:val="none"/>
          <w:lang w:val="zh-CN"/>
        </w:rPr>
        <w:t>2.6 技术资料</w:t>
      </w:r>
      <w:bookmarkEnd w:id="112"/>
      <w:bookmarkEnd w:id="113"/>
      <w:bookmarkEnd w:id="114"/>
      <w:bookmarkEnd w:id="115"/>
      <w:bookmarkEnd w:id="116"/>
      <w:bookmarkEnd w:id="117"/>
      <w:r>
        <w:rPr>
          <w:rFonts w:hint="eastAsia" w:ascii="宋体" w:hAnsi="宋体" w:cs="宋体"/>
          <w:b/>
          <w:bCs/>
          <w:color w:val="auto"/>
          <w:szCs w:val="21"/>
          <w:highlight w:val="none"/>
          <w:lang w:val="zh-CN"/>
        </w:rPr>
        <w:t>和保密义务</w:t>
      </w:r>
      <w:bookmarkEnd w:id="118"/>
      <w:bookmarkEnd w:id="119"/>
      <w:bookmarkEnd w:id="120"/>
    </w:p>
    <w:p w14:paraId="7621BBE7">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2.6.1乙方有权依据合同约定和项目需要，向甲方了解有关情况，调阅有关资料等，甲方应予积极配合；</w:t>
      </w:r>
    </w:p>
    <w:p w14:paraId="73F03B8C">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2.6.2乙方有义务妥善保管和保护由甲方提供的前款信息和资料等；</w:t>
      </w:r>
    </w:p>
    <w:p w14:paraId="50C33CA6">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5316EF10">
      <w:pPr>
        <w:spacing w:line="440" w:lineRule="exact"/>
        <w:ind w:firstLine="422" w:firstLineChars="200"/>
        <w:outlineLvl w:val="3"/>
        <w:rPr>
          <w:rFonts w:hint="eastAsia" w:ascii="宋体" w:hAnsi="宋体" w:cs="宋体"/>
          <w:b/>
          <w:bCs/>
          <w:color w:val="auto"/>
          <w:szCs w:val="21"/>
          <w:highlight w:val="none"/>
          <w:lang w:val="zh-CN"/>
        </w:rPr>
      </w:pPr>
      <w:bookmarkStart w:id="121" w:name="_Toc7860"/>
      <w:r>
        <w:rPr>
          <w:rFonts w:hint="eastAsia" w:ascii="宋体" w:hAnsi="宋体" w:cs="宋体"/>
          <w:b/>
          <w:bCs/>
          <w:color w:val="auto"/>
          <w:szCs w:val="21"/>
          <w:highlight w:val="none"/>
          <w:lang w:val="zh-CN"/>
        </w:rPr>
        <w:t>2.7 质量保证</w:t>
      </w:r>
      <w:bookmarkEnd w:id="121"/>
    </w:p>
    <w:p w14:paraId="1F24FE67">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2.7.1乙方应建立和完善履行合同的内部质量保证体系，并提供相关内部规章制度给甲方，以便甲方进行监督检查；</w:t>
      </w:r>
    </w:p>
    <w:p w14:paraId="7AD0806D">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2.7.2乙方应保证履行合同的人员数量和素质、软件和硬件设备的配置、场地、环境和设施等满足全面履行合同的要求，并应接受甲方的监督检查。</w:t>
      </w:r>
    </w:p>
    <w:p w14:paraId="42B224BA">
      <w:pPr>
        <w:spacing w:line="440" w:lineRule="exact"/>
        <w:ind w:firstLine="422" w:firstLineChars="200"/>
        <w:outlineLvl w:val="3"/>
        <w:rPr>
          <w:rFonts w:hint="eastAsia" w:ascii="宋体" w:hAnsi="宋体" w:cs="宋体"/>
          <w:b/>
          <w:color w:val="auto"/>
          <w:szCs w:val="21"/>
          <w:highlight w:val="none"/>
        </w:rPr>
      </w:pPr>
      <w:bookmarkStart w:id="122" w:name="_Toc22267"/>
      <w:r>
        <w:rPr>
          <w:rFonts w:hint="eastAsia" w:ascii="宋体" w:hAnsi="宋体" w:cs="宋体"/>
          <w:b/>
          <w:color w:val="auto"/>
          <w:szCs w:val="21"/>
          <w:highlight w:val="none"/>
        </w:rPr>
        <w:t>2.8 延迟履行</w:t>
      </w:r>
      <w:bookmarkEnd w:id="122"/>
    </w:p>
    <w:p w14:paraId="49913D89">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377CE0E3">
      <w:pPr>
        <w:spacing w:line="440" w:lineRule="exact"/>
        <w:ind w:firstLine="422" w:firstLineChars="200"/>
        <w:outlineLvl w:val="3"/>
        <w:rPr>
          <w:rFonts w:hint="eastAsia" w:ascii="宋体" w:hAnsi="宋体" w:cs="宋体"/>
          <w:b/>
          <w:bCs/>
          <w:color w:val="auto"/>
          <w:szCs w:val="21"/>
          <w:highlight w:val="none"/>
          <w:lang w:val="zh-CN"/>
        </w:rPr>
      </w:pPr>
      <w:bookmarkStart w:id="123" w:name="_Toc7502"/>
      <w:bookmarkStart w:id="124" w:name="_Toc279701254"/>
      <w:bookmarkStart w:id="125" w:name="_Toc487900364"/>
      <w:bookmarkStart w:id="126" w:name="_Toc259093683"/>
      <w:bookmarkStart w:id="127" w:name="_Ref467378121"/>
      <w:r>
        <w:rPr>
          <w:rFonts w:hint="eastAsia" w:ascii="宋体" w:hAnsi="宋体" w:cs="宋体"/>
          <w:b/>
          <w:bCs/>
          <w:color w:val="auto"/>
          <w:szCs w:val="21"/>
          <w:highlight w:val="none"/>
          <w:lang w:val="zh-CN"/>
        </w:rPr>
        <w:t>2.9 合同变更</w:t>
      </w:r>
      <w:bookmarkEnd w:id="123"/>
    </w:p>
    <w:p w14:paraId="58F94116">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2.9.1双方当事人协商一致，可以签订书面补充合同的形式变更合同，但不得违背采购文件确定的事项；</w:t>
      </w:r>
    </w:p>
    <w:p w14:paraId="40BBC1A8">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2.9.2合同继续履行将损害国家利益和社会公共利益的，双方当事人应当以书面形式变更合同。有过错的一方应当承担赔偿责任，双方当事人都有过错的，各自承担相应的责任。</w:t>
      </w:r>
      <w:bookmarkStart w:id="128" w:name="_Toc487900369"/>
      <w:bookmarkStart w:id="129" w:name="_Toc279701259"/>
      <w:bookmarkStart w:id="130" w:name="_Toc259093688"/>
    </w:p>
    <w:p w14:paraId="33549D97">
      <w:pPr>
        <w:spacing w:line="440" w:lineRule="exact"/>
        <w:ind w:firstLine="422" w:firstLineChars="200"/>
        <w:outlineLvl w:val="3"/>
        <w:rPr>
          <w:rFonts w:hint="eastAsia" w:ascii="宋体" w:hAnsi="宋体" w:cs="宋体"/>
          <w:b/>
          <w:bCs/>
          <w:color w:val="auto"/>
          <w:szCs w:val="21"/>
          <w:highlight w:val="none"/>
          <w:lang w:val="zh-CN"/>
        </w:rPr>
      </w:pPr>
      <w:bookmarkStart w:id="131" w:name="_Toc10366"/>
      <w:bookmarkStart w:id="132" w:name="_Toc22955"/>
      <w:bookmarkStart w:id="133" w:name="_Toc15237"/>
      <w:r>
        <w:rPr>
          <w:rFonts w:hint="eastAsia" w:ascii="宋体" w:hAnsi="宋体" w:cs="宋体"/>
          <w:b/>
          <w:bCs/>
          <w:color w:val="auto"/>
          <w:szCs w:val="21"/>
          <w:highlight w:val="none"/>
          <w:lang w:val="zh-CN"/>
        </w:rPr>
        <w:t>2.10 合同转让</w:t>
      </w:r>
      <w:bookmarkEnd w:id="128"/>
      <w:bookmarkEnd w:id="129"/>
      <w:bookmarkEnd w:id="130"/>
      <w:r>
        <w:rPr>
          <w:rFonts w:hint="eastAsia" w:ascii="宋体" w:hAnsi="宋体" w:cs="宋体"/>
          <w:b/>
          <w:bCs/>
          <w:color w:val="auto"/>
          <w:szCs w:val="21"/>
          <w:highlight w:val="none"/>
          <w:lang w:val="zh-CN"/>
        </w:rPr>
        <w:t>和分包</w:t>
      </w:r>
      <w:bookmarkEnd w:id="131"/>
      <w:bookmarkEnd w:id="132"/>
      <w:bookmarkEnd w:id="133"/>
    </w:p>
    <w:p w14:paraId="35FE0694">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1D2AAD20">
      <w:pPr>
        <w:spacing w:line="440" w:lineRule="exact"/>
        <w:ind w:firstLine="422" w:firstLineChars="200"/>
        <w:outlineLvl w:val="3"/>
        <w:rPr>
          <w:rFonts w:hint="eastAsia" w:ascii="宋体" w:hAnsi="宋体" w:cs="宋体"/>
          <w:b/>
          <w:bCs/>
          <w:color w:val="auto"/>
          <w:szCs w:val="21"/>
          <w:highlight w:val="none"/>
          <w:lang w:val="zh-CN"/>
        </w:rPr>
      </w:pPr>
      <w:bookmarkStart w:id="134" w:name="_Toc16508"/>
      <w:bookmarkStart w:id="135" w:name="_Toc14066"/>
      <w:bookmarkStart w:id="136" w:name="_Toc13566"/>
      <w:r>
        <w:rPr>
          <w:rFonts w:hint="eastAsia" w:ascii="宋体" w:hAnsi="宋体" w:cs="宋体"/>
          <w:b/>
          <w:bCs/>
          <w:color w:val="auto"/>
          <w:szCs w:val="21"/>
          <w:highlight w:val="none"/>
          <w:lang w:val="zh-CN"/>
        </w:rPr>
        <w:t>2.11 不可抗力</w:t>
      </w:r>
      <w:bookmarkEnd w:id="134"/>
      <w:bookmarkEnd w:id="135"/>
      <w:bookmarkEnd w:id="136"/>
    </w:p>
    <w:p w14:paraId="26BF6490">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2.11.1如果任何一方遭遇法律规定的不可抗力，致使合同履行受阻时，履行合同的期限应予延长，延长的期限应相当于不可抗力所影响的时间；</w:t>
      </w:r>
    </w:p>
    <w:p w14:paraId="4244EB2D">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2.11.2因不可抗力致使不能实现合同目的的，当事人可以解除合同；</w:t>
      </w:r>
    </w:p>
    <w:p w14:paraId="7482E6C4">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2.11.3因不可抗力致使合同有变更必要的，双方当事人应在</w:t>
      </w:r>
      <w:r>
        <w:rPr>
          <w:rFonts w:hint="eastAsia" w:ascii="宋体" w:hAnsi="宋体" w:cs="宋体"/>
          <w:b/>
          <w:i/>
          <w:color w:val="auto"/>
          <w:szCs w:val="21"/>
          <w:highlight w:val="none"/>
          <w:u w:val="single"/>
        </w:rPr>
        <w:t>合同专用条款</w:t>
      </w:r>
      <w:r>
        <w:rPr>
          <w:rFonts w:hint="eastAsia" w:ascii="宋体" w:hAnsi="宋体" w:cs="宋体"/>
          <w:color w:val="auto"/>
          <w:szCs w:val="21"/>
          <w:highlight w:val="none"/>
        </w:rPr>
        <w:t>约定时间内以书面形式变更合同；</w:t>
      </w:r>
    </w:p>
    <w:p w14:paraId="6FE98AC6">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2.11.4受不可抗力影响的一方在不可抗力发生后，应在</w:t>
      </w:r>
      <w:r>
        <w:rPr>
          <w:rFonts w:hint="eastAsia" w:ascii="宋体" w:hAnsi="宋体" w:cs="宋体"/>
          <w:b/>
          <w:i/>
          <w:color w:val="auto"/>
          <w:szCs w:val="21"/>
          <w:highlight w:val="none"/>
          <w:u w:val="single"/>
        </w:rPr>
        <w:t>合同专用条款</w:t>
      </w:r>
      <w:r>
        <w:rPr>
          <w:rFonts w:hint="eastAsia" w:ascii="宋体" w:hAnsi="宋体" w:cs="宋体"/>
          <w:color w:val="auto"/>
          <w:szCs w:val="21"/>
          <w:highlight w:val="none"/>
        </w:rPr>
        <w:t>约定时间内以书面形式通知对方当事人，并在</w:t>
      </w:r>
      <w:r>
        <w:rPr>
          <w:rFonts w:hint="eastAsia" w:ascii="宋体" w:hAnsi="宋体" w:cs="宋体"/>
          <w:b/>
          <w:i/>
          <w:color w:val="auto"/>
          <w:szCs w:val="21"/>
          <w:highlight w:val="none"/>
          <w:u w:val="single"/>
        </w:rPr>
        <w:t>合同专用条款</w:t>
      </w:r>
      <w:r>
        <w:rPr>
          <w:rFonts w:hint="eastAsia" w:ascii="宋体" w:hAnsi="宋体" w:cs="宋体"/>
          <w:color w:val="auto"/>
          <w:szCs w:val="21"/>
          <w:highlight w:val="none"/>
        </w:rPr>
        <w:t>约定时间内，将有关部门出具的证明文件送达对方当事人。</w:t>
      </w:r>
    </w:p>
    <w:p w14:paraId="4607FF0B">
      <w:pPr>
        <w:spacing w:line="440" w:lineRule="exact"/>
        <w:ind w:firstLine="422" w:firstLineChars="200"/>
        <w:outlineLvl w:val="3"/>
        <w:rPr>
          <w:rFonts w:hint="eastAsia" w:ascii="宋体" w:hAnsi="宋体" w:cs="宋体"/>
          <w:b/>
          <w:bCs/>
          <w:color w:val="auto"/>
          <w:szCs w:val="21"/>
          <w:highlight w:val="none"/>
          <w:lang w:val="zh-CN"/>
        </w:rPr>
      </w:pPr>
      <w:bookmarkStart w:id="137" w:name="_Toc6969"/>
      <w:bookmarkStart w:id="138" w:name="_Toc30676"/>
      <w:bookmarkStart w:id="139" w:name="_Toc689"/>
      <w:bookmarkStart w:id="140" w:name="_Toc487900365"/>
      <w:bookmarkStart w:id="141" w:name="_Toc279701255"/>
      <w:bookmarkStart w:id="142" w:name="_Toc259093684"/>
      <w:r>
        <w:rPr>
          <w:rFonts w:hint="eastAsia" w:ascii="宋体" w:hAnsi="宋体" w:cs="宋体"/>
          <w:b/>
          <w:bCs/>
          <w:color w:val="auto"/>
          <w:szCs w:val="21"/>
          <w:highlight w:val="none"/>
          <w:lang w:val="zh-CN"/>
        </w:rPr>
        <w:t>2.12 税费</w:t>
      </w:r>
      <w:bookmarkEnd w:id="137"/>
      <w:bookmarkEnd w:id="138"/>
      <w:bookmarkEnd w:id="139"/>
      <w:bookmarkEnd w:id="140"/>
      <w:bookmarkEnd w:id="141"/>
      <w:bookmarkEnd w:id="142"/>
    </w:p>
    <w:p w14:paraId="65FECF65">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与合同有关的一切税费，均按照中华人民共和国法律的相关规定缴纳。</w:t>
      </w:r>
    </w:p>
    <w:p w14:paraId="71475916">
      <w:pPr>
        <w:spacing w:line="440" w:lineRule="exact"/>
        <w:ind w:firstLine="422" w:firstLineChars="200"/>
        <w:outlineLvl w:val="3"/>
        <w:rPr>
          <w:rFonts w:hint="eastAsia" w:ascii="宋体" w:hAnsi="宋体" w:cs="宋体"/>
          <w:b/>
          <w:bCs/>
          <w:color w:val="auto"/>
          <w:szCs w:val="21"/>
          <w:highlight w:val="none"/>
          <w:lang w:val="zh-CN"/>
        </w:rPr>
      </w:pPr>
      <w:bookmarkStart w:id="143" w:name="_Toc16959"/>
      <w:bookmarkStart w:id="144" w:name="_Toc259093687"/>
      <w:bookmarkStart w:id="145" w:name="_Toc279701258"/>
      <w:bookmarkStart w:id="146" w:name="_Toc8298"/>
      <w:bookmarkStart w:id="147" w:name="_Toc7102"/>
      <w:bookmarkStart w:id="148" w:name="_Toc487900368"/>
      <w:r>
        <w:rPr>
          <w:rFonts w:hint="eastAsia" w:ascii="宋体" w:hAnsi="宋体" w:cs="宋体"/>
          <w:b/>
          <w:bCs/>
          <w:color w:val="auto"/>
          <w:szCs w:val="21"/>
          <w:highlight w:val="none"/>
          <w:lang w:val="zh-CN"/>
        </w:rPr>
        <w:t>2.13 乙方破产</w:t>
      </w:r>
      <w:bookmarkEnd w:id="143"/>
      <w:bookmarkEnd w:id="144"/>
      <w:bookmarkEnd w:id="145"/>
      <w:bookmarkEnd w:id="146"/>
      <w:bookmarkEnd w:id="147"/>
      <w:bookmarkEnd w:id="148"/>
    </w:p>
    <w:p w14:paraId="7168896D">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7E4B38DC">
      <w:pPr>
        <w:spacing w:line="440" w:lineRule="exact"/>
        <w:ind w:firstLine="422" w:firstLineChars="200"/>
        <w:outlineLvl w:val="3"/>
        <w:rPr>
          <w:rFonts w:hint="eastAsia" w:ascii="宋体" w:hAnsi="宋体" w:cs="宋体"/>
          <w:b/>
          <w:color w:val="auto"/>
          <w:szCs w:val="21"/>
          <w:highlight w:val="none"/>
        </w:rPr>
      </w:pPr>
      <w:bookmarkStart w:id="149" w:name="_Toc29333"/>
      <w:bookmarkStart w:id="150" w:name="_Toc6134"/>
      <w:bookmarkStart w:id="151" w:name="_Toc15387"/>
      <w:r>
        <w:rPr>
          <w:rFonts w:hint="eastAsia" w:ascii="宋体" w:hAnsi="宋体" w:cs="宋体"/>
          <w:b/>
          <w:bCs/>
          <w:color w:val="auto"/>
          <w:szCs w:val="21"/>
          <w:highlight w:val="none"/>
          <w:lang w:val="zh-CN"/>
        </w:rPr>
        <w:t>2.14 合同中止、终止</w:t>
      </w:r>
      <w:bookmarkEnd w:id="149"/>
      <w:bookmarkEnd w:id="150"/>
      <w:bookmarkEnd w:id="151"/>
    </w:p>
    <w:p w14:paraId="12B3E752">
      <w:pPr>
        <w:spacing w:line="440" w:lineRule="exact"/>
        <w:ind w:firstLine="420" w:firstLineChars="200"/>
        <w:outlineLvl w:val="4"/>
        <w:rPr>
          <w:rFonts w:hint="eastAsia" w:ascii="宋体" w:hAnsi="宋体" w:cs="宋体"/>
          <w:color w:val="auto"/>
          <w:szCs w:val="21"/>
          <w:highlight w:val="none"/>
        </w:rPr>
      </w:pPr>
      <w:r>
        <w:rPr>
          <w:rFonts w:hint="eastAsia" w:ascii="宋体" w:hAnsi="宋体" w:cs="宋体"/>
          <w:color w:val="auto"/>
          <w:szCs w:val="21"/>
          <w:highlight w:val="none"/>
        </w:rPr>
        <w:t>2.14.1双方当事人不得擅自中止或者终止合同；</w:t>
      </w:r>
    </w:p>
    <w:p w14:paraId="0B47A998">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2.14.2合同继续履行将损害国家利益和社会公共利益的，双方当事人应当中止或者终止合同。有过错的一方应当承担赔偿责任，双方当事人都有过错的，各自承担相应的责任。</w:t>
      </w:r>
    </w:p>
    <w:p w14:paraId="58E9C874">
      <w:pPr>
        <w:spacing w:line="440" w:lineRule="exact"/>
        <w:ind w:firstLine="422" w:firstLineChars="200"/>
        <w:outlineLvl w:val="3"/>
        <w:rPr>
          <w:rFonts w:hint="eastAsia" w:ascii="宋体" w:hAnsi="宋体" w:cs="宋体"/>
          <w:b/>
          <w:bCs/>
          <w:color w:val="auto"/>
          <w:szCs w:val="21"/>
          <w:highlight w:val="none"/>
          <w:lang w:val="zh-CN"/>
        </w:rPr>
      </w:pPr>
      <w:bookmarkStart w:id="152" w:name="_Toc14563"/>
      <w:bookmarkStart w:id="153" w:name="_Toc1125"/>
      <w:bookmarkStart w:id="154" w:name="_Toc6596"/>
      <w:r>
        <w:rPr>
          <w:rFonts w:hint="eastAsia" w:ascii="宋体" w:hAnsi="宋体" w:cs="宋体"/>
          <w:b/>
          <w:bCs/>
          <w:color w:val="auto"/>
          <w:szCs w:val="21"/>
          <w:highlight w:val="none"/>
          <w:lang w:val="zh-CN"/>
        </w:rPr>
        <w:t>2.15 检验和验收</w:t>
      </w:r>
      <w:bookmarkEnd w:id="152"/>
      <w:bookmarkEnd w:id="153"/>
      <w:bookmarkEnd w:id="154"/>
    </w:p>
    <w:p w14:paraId="368E61D4">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2.15.1乙方按照</w:t>
      </w:r>
      <w:r>
        <w:rPr>
          <w:rFonts w:hint="eastAsia" w:ascii="宋体" w:hAnsi="宋体" w:cs="宋体"/>
          <w:b/>
          <w:i/>
          <w:color w:val="auto"/>
          <w:szCs w:val="21"/>
          <w:highlight w:val="none"/>
          <w:u w:val="single"/>
        </w:rPr>
        <w:t>合同专用条款</w:t>
      </w:r>
      <w:r>
        <w:rPr>
          <w:rFonts w:hint="eastAsia" w:ascii="宋体" w:hAnsi="宋体" w:cs="宋体"/>
          <w:color w:val="auto"/>
          <w:szCs w:val="21"/>
          <w:highlight w:val="none"/>
        </w:rPr>
        <w:t>的约定，定期提交服务报告，甲方按照</w:t>
      </w:r>
      <w:r>
        <w:rPr>
          <w:rFonts w:hint="eastAsia" w:ascii="宋体" w:hAnsi="宋体" w:cs="宋体"/>
          <w:b/>
          <w:i/>
          <w:color w:val="auto"/>
          <w:szCs w:val="21"/>
          <w:highlight w:val="none"/>
          <w:u w:val="single"/>
        </w:rPr>
        <w:t>合同专用条款</w:t>
      </w:r>
      <w:r>
        <w:rPr>
          <w:rFonts w:hint="eastAsia" w:ascii="宋体" w:hAnsi="宋体" w:cs="宋体"/>
          <w:color w:val="auto"/>
          <w:szCs w:val="21"/>
          <w:highlight w:val="none"/>
        </w:rPr>
        <w:t>的约定进行定期验收；</w:t>
      </w:r>
    </w:p>
    <w:p w14:paraId="517E1C7B">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1824DAEA">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2.15.3检验和验收标准、程序等具体内容以及前述验收书的效力详见</w:t>
      </w:r>
      <w:r>
        <w:rPr>
          <w:rFonts w:hint="eastAsia" w:ascii="宋体" w:hAnsi="宋体" w:cs="宋体"/>
          <w:b/>
          <w:i/>
          <w:color w:val="auto"/>
          <w:szCs w:val="21"/>
          <w:highlight w:val="none"/>
          <w:u w:val="single"/>
        </w:rPr>
        <w:t>合同专用条款</w:t>
      </w:r>
      <w:r>
        <w:rPr>
          <w:rFonts w:hint="eastAsia" w:ascii="宋体" w:hAnsi="宋体" w:cs="宋体"/>
          <w:i/>
          <w:color w:val="auto"/>
          <w:szCs w:val="21"/>
          <w:highlight w:val="none"/>
        </w:rPr>
        <w:t>。</w:t>
      </w:r>
    </w:p>
    <w:bookmarkEnd w:id="124"/>
    <w:bookmarkEnd w:id="125"/>
    <w:bookmarkEnd w:id="126"/>
    <w:bookmarkEnd w:id="127"/>
    <w:p w14:paraId="67E98853">
      <w:pPr>
        <w:spacing w:line="440" w:lineRule="exact"/>
        <w:ind w:firstLine="422" w:firstLineChars="200"/>
        <w:outlineLvl w:val="3"/>
        <w:rPr>
          <w:rFonts w:hint="eastAsia" w:ascii="宋体" w:hAnsi="宋体" w:cs="宋体"/>
          <w:b/>
          <w:bCs/>
          <w:color w:val="auto"/>
          <w:szCs w:val="21"/>
          <w:highlight w:val="none"/>
        </w:rPr>
      </w:pPr>
      <w:bookmarkStart w:id="155" w:name="_Toc259093692"/>
      <w:bookmarkStart w:id="156" w:name="_Toc279701263"/>
      <w:bookmarkStart w:id="157" w:name="_Toc487900373"/>
      <w:bookmarkStart w:id="158" w:name="_Toc10330"/>
      <w:bookmarkStart w:id="159" w:name="_Toc12773"/>
      <w:bookmarkStart w:id="160" w:name="_Toc18567"/>
      <w:r>
        <w:rPr>
          <w:rFonts w:hint="eastAsia" w:ascii="宋体" w:hAnsi="宋体" w:cs="宋体"/>
          <w:b/>
          <w:bCs/>
          <w:color w:val="auto"/>
          <w:szCs w:val="21"/>
          <w:highlight w:val="none"/>
        </w:rPr>
        <w:t xml:space="preserve">2.16 </w:t>
      </w:r>
      <w:r>
        <w:rPr>
          <w:rFonts w:hint="eastAsia" w:ascii="宋体" w:hAnsi="宋体" w:cs="宋体"/>
          <w:b/>
          <w:bCs/>
          <w:color w:val="auto"/>
          <w:szCs w:val="21"/>
          <w:highlight w:val="none"/>
          <w:lang w:val="zh-CN"/>
        </w:rPr>
        <w:t>合同使用的文字和适用的法律</w:t>
      </w:r>
      <w:bookmarkEnd w:id="155"/>
      <w:bookmarkEnd w:id="156"/>
      <w:bookmarkEnd w:id="157"/>
      <w:bookmarkEnd w:id="158"/>
      <w:bookmarkEnd w:id="159"/>
      <w:bookmarkEnd w:id="160"/>
    </w:p>
    <w:p w14:paraId="4B039E88">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2.16.1合同使用汉语进行书写、变更和解释；</w:t>
      </w:r>
    </w:p>
    <w:p w14:paraId="53500230">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2.16.2合同适用中华人民共和国法律。</w:t>
      </w:r>
    </w:p>
    <w:p w14:paraId="43DA1231">
      <w:pPr>
        <w:spacing w:line="440" w:lineRule="exact"/>
        <w:ind w:firstLine="422" w:firstLineChars="200"/>
        <w:outlineLvl w:val="3"/>
        <w:rPr>
          <w:rFonts w:hint="eastAsia" w:ascii="宋体" w:hAnsi="宋体" w:cs="宋体"/>
          <w:b/>
          <w:color w:val="auto"/>
          <w:szCs w:val="21"/>
          <w:highlight w:val="none"/>
        </w:rPr>
      </w:pPr>
      <w:bookmarkStart w:id="161" w:name="_Toc6885"/>
      <w:bookmarkStart w:id="162" w:name="_Toc14001"/>
      <w:bookmarkStart w:id="163" w:name="_Toc19890"/>
      <w:r>
        <w:rPr>
          <w:rFonts w:hint="eastAsia" w:ascii="宋体" w:hAnsi="宋体" w:cs="宋体"/>
          <w:b/>
          <w:bCs/>
          <w:color w:val="auto"/>
          <w:szCs w:val="21"/>
          <w:highlight w:val="none"/>
          <w:lang w:val="zh-CN"/>
        </w:rPr>
        <w:t>2.1</w:t>
      </w:r>
      <w:r>
        <w:rPr>
          <w:rFonts w:hint="eastAsia" w:ascii="宋体" w:hAnsi="宋体" w:cs="宋体"/>
          <w:b/>
          <w:bCs/>
          <w:color w:val="auto"/>
          <w:szCs w:val="21"/>
          <w:highlight w:val="none"/>
        </w:rPr>
        <w:t>7</w:t>
      </w:r>
      <w:r>
        <w:rPr>
          <w:rFonts w:hint="eastAsia" w:ascii="宋体" w:hAnsi="宋体" w:cs="宋体"/>
          <w:b/>
          <w:bCs/>
          <w:color w:val="auto"/>
          <w:szCs w:val="21"/>
          <w:highlight w:val="none"/>
          <w:lang w:val="zh-CN"/>
        </w:rPr>
        <w:t xml:space="preserve"> 合同份数</w:t>
      </w:r>
      <w:bookmarkEnd w:id="161"/>
      <w:bookmarkEnd w:id="162"/>
      <w:bookmarkEnd w:id="163"/>
    </w:p>
    <w:p w14:paraId="7CFD2902">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合同份数按</w:t>
      </w:r>
      <w:r>
        <w:rPr>
          <w:rFonts w:hint="eastAsia" w:ascii="宋体" w:hAnsi="宋体" w:cs="宋体"/>
          <w:b/>
          <w:i/>
          <w:color w:val="auto"/>
          <w:szCs w:val="21"/>
          <w:highlight w:val="none"/>
          <w:u w:val="single"/>
        </w:rPr>
        <w:t>合同专用条款</w:t>
      </w:r>
      <w:r>
        <w:rPr>
          <w:rFonts w:hint="eastAsia" w:ascii="宋体" w:hAnsi="宋体" w:cs="宋体"/>
          <w:color w:val="auto"/>
          <w:szCs w:val="21"/>
          <w:highlight w:val="none"/>
        </w:rPr>
        <w:t>规定，每份均具有同等法律效力。</w:t>
      </w:r>
    </w:p>
    <w:p w14:paraId="219D4CE4">
      <w:pPr>
        <w:pageBreakBefore/>
        <w:spacing w:before="156" w:beforeLines="50" w:after="156" w:afterLines="50" w:line="440" w:lineRule="exact"/>
        <w:jc w:val="center"/>
        <w:outlineLvl w:val="4"/>
        <w:rPr>
          <w:b/>
          <w:color w:val="auto"/>
          <w:sz w:val="28"/>
          <w:szCs w:val="28"/>
          <w:highlight w:val="none"/>
        </w:rPr>
      </w:pPr>
      <w:bookmarkStart w:id="164" w:name="_Toc331685784"/>
      <w:r>
        <w:rPr>
          <w:b/>
          <w:color w:val="auto"/>
          <w:sz w:val="28"/>
          <w:szCs w:val="28"/>
          <w:highlight w:val="none"/>
        </w:rPr>
        <w:t>第三部分 合同专用条款</w:t>
      </w:r>
      <w:bookmarkEnd w:id="164"/>
    </w:p>
    <w:p w14:paraId="08BEDA47">
      <w:pPr>
        <w:spacing w:line="360" w:lineRule="auto"/>
        <w:ind w:firstLine="435"/>
        <w:rPr>
          <w:color w:val="auto"/>
          <w:szCs w:val="21"/>
          <w:highlight w:val="none"/>
        </w:rPr>
      </w:pPr>
      <w:r>
        <w:rPr>
          <w:color w:val="auto"/>
          <w:szCs w:val="21"/>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3"/>
        <w:gridCol w:w="7569"/>
      </w:tblGrid>
      <w:tr w14:paraId="6774C6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3" w:type="dxa"/>
            <w:tcBorders>
              <w:left w:val="single" w:color="auto" w:sz="4" w:space="0"/>
            </w:tcBorders>
            <w:noWrap w:val="0"/>
            <w:vAlign w:val="center"/>
          </w:tcPr>
          <w:p w14:paraId="461A610C">
            <w:pPr>
              <w:jc w:val="center"/>
              <w:rPr>
                <w:b/>
                <w:color w:val="auto"/>
                <w:szCs w:val="21"/>
                <w:highlight w:val="none"/>
              </w:rPr>
            </w:pPr>
            <w:r>
              <w:rPr>
                <w:b/>
                <w:color w:val="auto"/>
                <w:szCs w:val="21"/>
                <w:highlight w:val="none"/>
              </w:rPr>
              <w:t>条款号</w:t>
            </w:r>
          </w:p>
        </w:tc>
        <w:tc>
          <w:tcPr>
            <w:tcW w:w="7569" w:type="dxa"/>
            <w:noWrap w:val="0"/>
            <w:vAlign w:val="center"/>
          </w:tcPr>
          <w:p w14:paraId="04DFC8FB">
            <w:pPr>
              <w:jc w:val="center"/>
              <w:rPr>
                <w:b/>
                <w:color w:val="auto"/>
                <w:szCs w:val="21"/>
                <w:highlight w:val="none"/>
              </w:rPr>
            </w:pPr>
            <w:r>
              <w:rPr>
                <w:b/>
                <w:color w:val="auto"/>
                <w:szCs w:val="21"/>
                <w:highlight w:val="none"/>
              </w:rPr>
              <w:t>约定内容</w:t>
            </w:r>
          </w:p>
        </w:tc>
      </w:tr>
      <w:tr w14:paraId="3E5A94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3" w:type="dxa"/>
            <w:tcBorders>
              <w:left w:val="single" w:color="auto" w:sz="4" w:space="0"/>
            </w:tcBorders>
            <w:noWrap w:val="0"/>
            <w:vAlign w:val="center"/>
          </w:tcPr>
          <w:p w14:paraId="5FD9F66C">
            <w:pPr>
              <w:spacing w:line="560" w:lineRule="exact"/>
              <w:rPr>
                <w:color w:val="auto"/>
                <w:szCs w:val="21"/>
                <w:highlight w:val="none"/>
              </w:rPr>
            </w:pPr>
          </w:p>
        </w:tc>
        <w:tc>
          <w:tcPr>
            <w:tcW w:w="7569" w:type="dxa"/>
            <w:noWrap w:val="0"/>
            <w:vAlign w:val="center"/>
          </w:tcPr>
          <w:p w14:paraId="134B14CC">
            <w:pPr>
              <w:spacing w:line="560" w:lineRule="exact"/>
              <w:rPr>
                <w:color w:val="auto"/>
                <w:szCs w:val="21"/>
                <w:highlight w:val="none"/>
              </w:rPr>
            </w:pPr>
          </w:p>
        </w:tc>
      </w:tr>
      <w:tr w14:paraId="7FAA74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3" w:type="dxa"/>
            <w:tcBorders>
              <w:left w:val="single" w:color="auto" w:sz="4" w:space="0"/>
            </w:tcBorders>
            <w:noWrap w:val="0"/>
            <w:vAlign w:val="center"/>
          </w:tcPr>
          <w:p w14:paraId="090A119E">
            <w:pPr>
              <w:spacing w:line="560" w:lineRule="exact"/>
              <w:rPr>
                <w:color w:val="auto"/>
                <w:szCs w:val="21"/>
                <w:highlight w:val="none"/>
              </w:rPr>
            </w:pPr>
          </w:p>
        </w:tc>
        <w:tc>
          <w:tcPr>
            <w:tcW w:w="7569" w:type="dxa"/>
            <w:noWrap w:val="0"/>
            <w:vAlign w:val="center"/>
          </w:tcPr>
          <w:p w14:paraId="2DD014A1">
            <w:pPr>
              <w:spacing w:line="560" w:lineRule="exact"/>
              <w:rPr>
                <w:color w:val="auto"/>
                <w:szCs w:val="21"/>
                <w:highlight w:val="none"/>
              </w:rPr>
            </w:pPr>
          </w:p>
        </w:tc>
      </w:tr>
      <w:tr w14:paraId="65D8FA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3" w:type="dxa"/>
            <w:tcBorders>
              <w:left w:val="single" w:color="auto" w:sz="4" w:space="0"/>
            </w:tcBorders>
            <w:noWrap w:val="0"/>
            <w:vAlign w:val="center"/>
          </w:tcPr>
          <w:p w14:paraId="462735C8">
            <w:pPr>
              <w:spacing w:line="560" w:lineRule="exact"/>
              <w:rPr>
                <w:color w:val="auto"/>
                <w:szCs w:val="21"/>
                <w:highlight w:val="none"/>
              </w:rPr>
            </w:pPr>
          </w:p>
        </w:tc>
        <w:tc>
          <w:tcPr>
            <w:tcW w:w="7569" w:type="dxa"/>
            <w:noWrap w:val="0"/>
            <w:vAlign w:val="center"/>
          </w:tcPr>
          <w:p w14:paraId="618BCBE9">
            <w:pPr>
              <w:spacing w:line="560" w:lineRule="exact"/>
              <w:rPr>
                <w:color w:val="auto"/>
                <w:szCs w:val="21"/>
                <w:highlight w:val="none"/>
              </w:rPr>
            </w:pPr>
          </w:p>
        </w:tc>
      </w:tr>
      <w:tr w14:paraId="68BF52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3" w:type="dxa"/>
            <w:tcBorders>
              <w:left w:val="single" w:color="auto" w:sz="4" w:space="0"/>
            </w:tcBorders>
            <w:noWrap w:val="0"/>
            <w:vAlign w:val="center"/>
          </w:tcPr>
          <w:p w14:paraId="4EB3F6C4">
            <w:pPr>
              <w:spacing w:line="560" w:lineRule="exact"/>
              <w:rPr>
                <w:color w:val="auto"/>
                <w:szCs w:val="21"/>
                <w:highlight w:val="none"/>
              </w:rPr>
            </w:pPr>
          </w:p>
        </w:tc>
        <w:tc>
          <w:tcPr>
            <w:tcW w:w="7569" w:type="dxa"/>
            <w:noWrap w:val="0"/>
            <w:vAlign w:val="center"/>
          </w:tcPr>
          <w:p w14:paraId="42CA7D14">
            <w:pPr>
              <w:spacing w:line="560" w:lineRule="exact"/>
              <w:rPr>
                <w:color w:val="auto"/>
                <w:szCs w:val="21"/>
                <w:highlight w:val="none"/>
              </w:rPr>
            </w:pPr>
          </w:p>
        </w:tc>
      </w:tr>
      <w:tr w14:paraId="7F06D7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left w:val="single" w:color="auto" w:sz="4" w:space="0"/>
            </w:tcBorders>
            <w:noWrap w:val="0"/>
            <w:vAlign w:val="center"/>
          </w:tcPr>
          <w:p w14:paraId="24E4BECD">
            <w:pPr>
              <w:spacing w:line="560" w:lineRule="exact"/>
              <w:rPr>
                <w:color w:val="auto"/>
                <w:szCs w:val="21"/>
                <w:highlight w:val="none"/>
              </w:rPr>
            </w:pPr>
          </w:p>
        </w:tc>
        <w:tc>
          <w:tcPr>
            <w:tcW w:w="7569" w:type="dxa"/>
            <w:noWrap w:val="0"/>
            <w:vAlign w:val="center"/>
          </w:tcPr>
          <w:p w14:paraId="68F9355B">
            <w:pPr>
              <w:spacing w:line="560" w:lineRule="exact"/>
              <w:rPr>
                <w:color w:val="auto"/>
                <w:szCs w:val="21"/>
                <w:highlight w:val="none"/>
                <w:u w:val="single"/>
              </w:rPr>
            </w:pPr>
          </w:p>
        </w:tc>
      </w:tr>
      <w:tr w14:paraId="5CCBCD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left w:val="single" w:color="auto" w:sz="4" w:space="0"/>
            </w:tcBorders>
            <w:noWrap w:val="0"/>
            <w:vAlign w:val="center"/>
          </w:tcPr>
          <w:p w14:paraId="421AC40A">
            <w:pPr>
              <w:spacing w:line="560" w:lineRule="exact"/>
              <w:rPr>
                <w:color w:val="auto"/>
                <w:szCs w:val="21"/>
                <w:highlight w:val="none"/>
              </w:rPr>
            </w:pPr>
          </w:p>
        </w:tc>
        <w:tc>
          <w:tcPr>
            <w:tcW w:w="7569" w:type="dxa"/>
            <w:noWrap w:val="0"/>
            <w:vAlign w:val="center"/>
          </w:tcPr>
          <w:p w14:paraId="750A3E6F">
            <w:pPr>
              <w:spacing w:line="560" w:lineRule="exact"/>
              <w:rPr>
                <w:color w:val="auto"/>
                <w:szCs w:val="21"/>
                <w:highlight w:val="none"/>
              </w:rPr>
            </w:pPr>
          </w:p>
        </w:tc>
      </w:tr>
      <w:tr w14:paraId="73C445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3" w:type="dxa"/>
            <w:tcBorders>
              <w:left w:val="single" w:color="auto" w:sz="4" w:space="0"/>
            </w:tcBorders>
            <w:noWrap w:val="0"/>
            <w:vAlign w:val="center"/>
          </w:tcPr>
          <w:p w14:paraId="25845B9D">
            <w:pPr>
              <w:spacing w:line="560" w:lineRule="exact"/>
              <w:rPr>
                <w:color w:val="auto"/>
                <w:szCs w:val="21"/>
                <w:highlight w:val="none"/>
              </w:rPr>
            </w:pPr>
          </w:p>
        </w:tc>
        <w:tc>
          <w:tcPr>
            <w:tcW w:w="7569" w:type="dxa"/>
            <w:noWrap w:val="0"/>
            <w:vAlign w:val="center"/>
          </w:tcPr>
          <w:p w14:paraId="5535F5A8">
            <w:pPr>
              <w:spacing w:line="560" w:lineRule="exact"/>
              <w:rPr>
                <w:color w:val="auto"/>
                <w:szCs w:val="21"/>
                <w:highlight w:val="none"/>
                <w:u w:val="single"/>
              </w:rPr>
            </w:pPr>
          </w:p>
        </w:tc>
      </w:tr>
      <w:tr w14:paraId="7F4866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left w:val="single" w:color="auto" w:sz="4" w:space="0"/>
            </w:tcBorders>
            <w:noWrap w:val="0"/>
            <w:vAlign w:val="center"/>
          </w:tcPr>
          <w:p w14:paraId="4F16890C">
            <w:pPr>
              <w:spacing w:line="560" w:lineRule="exact"/>
              <w:rPr>
                <w:color w:val="auto"/>
                <w:szCs w:val="21"/>
                <w:highlight w:val="none"/>
              </w:rPr>
            </w:pPr>
          </w:p>
        </w:tc>
        <w:tc>
          <w:tcPr>
            <w:tcW w:w="7569" w:type="dxa"/>
            <w:noWrap w:val="0"/>
            <w:vAlign w:val="center"/>
          </w:tcPr>
          <w:p w14:paraId="15A46D01">
            <w:pPr>
              <w:spacing w:line="560" w:lineRule="exact"/>
              <w:rPr>
                <w:color w:val="auto"/>
                <w:szCs w:val="21"/>
                <w:highlight w:val="none"/>
              </w:rPr>
            </w:pPr>
          </w:p>
        </w:tc>
      </w:tr>
      <w:tr w14:paraId="0DDB8B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left w:val="single" w:color="auto" w:sz="4" w:space="0"/>
            </w:tcBorders>
            <w:noWrap w:val="0"/>
            <w:vAlign w:val="center"/>
          </w:tcPr>
          <w:p w14:paraId="5165EAEF">
            <w:pPr>
              <w:spacing w:line="560" w:lineRule="exact"/>
              <w:rPr>
                <w:color w:val="auto"/>
                <w:szCs w:val="21"/>
                <w:highlight w:val="none"/>
              </w:rPr>
            </w:pPr>
          </w:p>
        </w:tc>
        <w:tc>
          <w:tcPr>
            <w:tcW w:w="7569" w:type="dxa"/>
            <w:noWrap w:val="0"/>
            <w:vAlign w:val="center"/>
          </w:tcPr>
          <w:p w14:paraId="6E45EBFC">
            <w:pPr>
              <w:spacing w:line="560" w:lineRule="exact"/>
              <w:rPr>
                <w:color w:val="auto"/>
                <w:szCs w:val="21"/>
                <w:highlight w:val="none"/>
              </w:rPr>
            </w:pPr>
          </w:p>
        </w:tc>
      </w:tr>
      <w:tr w14:paraId="4DE420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left w:val="single" w:color="auto" w:sz="4" w:space="0"/>
            </w:tcBorders>
            <w:noWrap w:val="0"/>
            <w:vAlign w:val="center"/>
          </w:tcPr>
          <w:p w14:paraId="12CAA5B1">
            <w:pPr>
              <w:spacing w:line="560" w:lineRule="exact"/>
              <w:rPr>
                <w:color w:val="auto"/>
                <w:szCs w:val="21"/>
                <w:highlight w:val="none"/>
              </w:rPr>
            </w:pPr>
          </w:p>
        </w:tc>
        <w:tc>
          <w:tcPr>
            <w:tcW w:w="7569" w:type="dxa"/>
            <w:noWrap w:val="0"/>
            <w:vAlign w:val="center"/>
          </w:tcPr>
          <w:p w14:paraId="3D3B5D86">
            <w:pPr>
              <w:spacing w:line="560" w:lineRule="exact"/>
              <w:rPr>
                <w:color w:val="auto"/>
                <w:szCs w:val="21"/>
                <w:highlight w:val="none"/>
              </w:rPr>
            </w:pPr>
          </w:p>
        </w:tc>
      </w:tr>
      <w:tr w14:paraId="1B6BB9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top w:val="single" w:color="auto" w:sz="6" w:space="0"/>
              <w:left w:val="single" w:color="auto" w:sz="4" w:space="0"/>
              <w:bottom w:val="single" w:color="auto" w:sz="6" w:space="0"/>
              <w:right w:val="single" w:color="auto" w:sz="6" w:space="0"/>
            </w:tcBorders>
            <w:noWrap w:val="0"/>
            <w:vAlign w:val="center"/>
          </w:tcPr>
          <w:p w14:paraId="2A883DDD">
            <w:pPr>
              <w:spacing w:line="560" w:lineRule="exact"/>
              <w:rPr>
                <w:color w:val="auto"/>
                <w:szCs w:val="21"/>
                <w:highlight w:val="none"/>
              </w:rPr>
            </w:pPr>
          </w:p>
        </w:tc>
        <w:tc>
          <w:tcPr>
            <w:tcW w:w="7569" w:type="dxa"/>
            <w:tcBorders>
              <w:top w:val="single" w:color="auto" w:sz="6" w:space="0"/>
              <w:left w:val="single" w:color="auto" w:sz="6" w:space="0"/>
              <w:bottom w:val="single" w:color="auto" w:sz="6" w:space="0"/>
              <w:right w:val="single" w:color="auto" w:sz="6" w:space="0"/>
            </w:tcBorders>
            <w:noWrap w:val="0"/>
            <w:vAlign w:val="center"/>
          </w:tcPr>
          <w:p w14:paraId="3926B205">
            <w:pPr>
              <w:spacing w:line="560" w:lineRule="exact"/>
              <w:rPr>
                <w:color w:val="auto"/>
                <w:szCs w:val="21"/>
                <w:highlight w:val="none"/>
              </w:rPr>
            </w:pPr>
          </w:p>
        </w:tc>
      </w:tr>
    </w:tbl>
    <w:p w14:paraId="7565442D">
      <w:pPr>
        <w:spacing w:before="156" w:beforeLines="50" w:after="156" w:afterLines="50" w:line="440" w:lineRule="exact"/>
        <w:outlineLvl w:val="9"/>
        <w:rPr>
          <w:rFonts w:hint="eastAsia" w:ascii="宋体" w:hAnsi="宋体" w:cs="宋体"/>
          <w:b/>
          <w:color w:val="auto"/>
          <w:sz w:val="32"/>
          <w:szCs w:val="32"/>
          <w:highlight w:val="none"/>
        </w:rPr>
      </w:pPr>
    </w:p>
    <w:p w14:paraId="2D5104E6">
      <w:pPr>
        <w:spacing w:before="156" w:beforeLines="50" w:after="156" w:afterLines="50" w:line="440" w:lineRule="exact"/>
        <w:outlineLvl w:val="9"/>
        <w:rPr>
          <w:rFonts w:hint="eastAsia" w:ascii="宋体" w:hAnsi="宋体" w:cs="宋体"/>
          <w:b/>
          <w:color w:val="auto"/>
          <w:sz w:val="32"/>
          <w:szCs w:val="32"/>
          <w:highlight w:val="none"/>
        </w:rPr>
      </w:pPr>
    </w:p>
    <w:p w14:paraId="62DFE88B">
      <w:pPr>
        <w:pStyle w:val="2"/>
        <w:ind w:firstLine="643"/>
        <w:outlineLvl w:val="9"/>
        <w:rPr>
          <w:rFonts w:hint="eastAsia" w:cs="宋体"/>
          <w:b/>
          <w:color w:val="auto"/>
          <w:sz w:val="32"/>
          <w:szCs w:val="32"/>
          <w:highlight w:val="none"/>
        </w:rPr>
      </w:pPr>
    </w:p>
    <w:p w14:paraId="60181E6D">
      <w:pPr>
        <w:pStyle w:val="25"/>
        <w:outlineLvl w:val="9"/>
        <w:rPr>
          <w:rFonts w:hint="eastAsia" w:ascii="宋体" w:hAnsi="宋体" w:eastAsia="宋体" w:cs="宋体"/>
          <w:b/>
          <w:color w:val="auto"/>
          <w:sz w:val="32"/>
          <w:szCs w:val="32"/>
          <w:highlight w:val="none"/>
        </w:rPr>
      </w:pPr>
    </w:p>
    <w:p w14:paraId="3AE5ECBF">
      <w:pPr>
        <w:outlineLvl w:val="9"/>
        <w:rPr>
          <w:rFonts w:hint="eastAsia" w:ascii="宋体" w:hAnsi="宋体" w:cs="宋体"/>
          <w:b/>
          <w:color w:val="auto"/>
          <w:sz w:val="32"/>
          <w:szCs w:val="32"/>
          <w:highlight w:val="none"/>
        </w:rPr>
      </w:pPr>
    </w:p>
    <w:p w14:paraId="34AD72B8">
      <w:pPr>
        <w:pStyle w:val="2"/>
        <w:ind w:firstLine="643"/>
        <w:outlineLvl w:val="9"/>
        <w:rPr>
          <w:rFonts w:hint="eastAsia" w:cs="宋体"/>
          <w:b/>
          <w:color w:val="auto"/>
          <w:sz w:val="32"/>
          <w:szCs w:val="32"/>
          <w:highlight w:val="none"/>
        </w:rPr>
      </w:pPr>
    </w:p>
    <w:p w14:paraId="679EB286">
      <w:pPr>
        <w:pStyle w:val="25"/>
        <w:outlineLvl w:val="9"/>
        <w:rPr>
          <w:rFonts w:hint="eastAsia" w:ascii="宋体" w:hAnsi="宋体" w:eastAsia="宋体" w:cs="宋体"/>
          <w:b/>
          <w:color w:val="auto"/>
          <w:sz w:val="32"/>
          <w:szCs w:val="32"/>
          <w:highlight w:val="none"/>
        </w:rPr>
      </w:pPr>
    </w:p>
    <w:p w14:paraId="11AFA477">
      <w:pPr>
        <w:rPr>
          <w:rFonts w:hint="eastAsia" w:ascii="宋体" w:hAnsi="宋体" w:cs="宋体"/>
          <w:b/>
          <w:color w:val="auto"/>
          <w:sz w:val="32"/>
          <w:szCs w:val="32"/>
          <w:highlight w:val="none"/>
        </w:rPr>
      </w:pPr>
    </w:p>
    <w:p w14:paraId="66A676FF">
      <w:pPr>
        <w:pStyle w:val="2"/>
        <w:ind w:firstLine="643"/>
        <w:rPr>
          <w:rFonts w:hint="eastAsia" w:cs="宋体"/>
          <w:b/>
          <w:color w:val="auto"/>
          <w:sz w:val="32"/>
          <w:szCs w:val="32"/>
          <w:highlight w:val="none"/>
        </w:rPr>
      </w:pPr>
    </w:p>
    <w:p w14:paraId="03339B5F">
      <w:pPr>
        <w:pStyle w:val="5"/>
        <w:pageBreakBefore/>
        <w:spacing w:before="156" w:beforeLines="50" w:after="156" w:afterLines="50" w:line="44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六.响应文件格式</w:t>
      </w:r>
      <w:bookmarkEnd w:id="30"/>
      <w:bookmarkEnd w:id="31"/>
    </w:p>
    <w:p w14:paraId="662DA44B">
      <w:pPr>
        <w:ind w:firstLine="6860" w:firstLineChars="2450"/>
        <w:rPr>
          <w:rFonts w:hint="eastAsia" w:ascii="宋体" w:hAnsi="宋体" w:cs="宋体"/>
          <w:color w:val="auto"/>
          <w:highlight w:val="none"/>
        </w:rPr>
      </w:pPr>
      <w:r>
        <w:rPr>
          <w:rFonts w:hint="eastAsia" w:ascii="宋体" w:hAnsi="宋体" w:cs="宋体"/>
          <w:color w:val="auto"/>
          <w:sz w:val="28"/>
          <w:szCs w:val="28"/>
          <w:highlight w:val="none"/>
          <w:bdr w:val="single" w:color="auto" w:sz="4" w:space="0"/>
        </w:rPr>
        <w:t>注明正本或副本</w:t>
      </w:r>
    </w:p>
    <w:p w14:paraId="7CBF7B87">
      <w:pPr>
        <w:rPr>
          <w:rFonts w:hint="eastAsia" w:ascii="宋体" w:hAnsi="宋体" w:cs="宋体"/>
          <w:color w:val="auto"/>
          <w:highlight w:val="none"/>
        </w:rPr>
      </w:pPr>
    </w:p>
    <w:p w14:paraId="07FDDE5B">
      <w:pPr>
        <w:jc w:val="center"/>
        <w:rPr>
          <w:rFonts w:hint="eastAsia" w:ascii="宋体" w:hAnsi="宋体" w:cs="宋体"/>
          <w:b/>
          <w:color w:val="auto"/>
          <w:sz w:val="32"/>
          <w:szCs w:val="32"/>
          <w:highlight w:val="none"/>
        </w:rPr>
      </w:pPr>
      <w:bookmarkStart w:id="165" w:name="_Toc477418344"/>
      <w:bookmarkStart w:id="166" w:name="_Toc461056631"/>
      <w:bookmarkStart w:id="167" w:name="_Toc461053086"/>
      <w:bookmarkStart w:id="168" w:name="_Toc519783893"/>
    </w:p>
    <w:p w14:paraId="5D89CB11">
      <w:pPr>
        <w:jc w:val="center"/>
        <w:outlineLvl w:val="1"/>
        <w:rPr>
          <w:rFonts w:hint="eastAsia" w:ascii="宋体" w:hAnsi="宋体" w:cs="宋体"/>
          <w:b/>
          <w:color w:val="auto"/>
          <w:sz w:val="32"/>
          <w:szCs w:val="32"/>
          <w:highlight w:val="none"/>
        </w:rPr>
      </w:pPr>
      <w:r>
        <w:rPr>
          <w:rFonts w:hint="eastAsia" w:ascii="宋体" w:hAnsi="宋体" w:cs="宋体"/>
          <w:b/>
          <w:color w:val="auto"/>
          <w:sz w:val="32"/>
          <w:szCs w:val="32"/>
          <w:highlight w:val="none"/>
        </w:rPr>
        <w:t>资格证明文件</w:t>
      </w:r>
      <w:bookmarkEnd w:id="165"/>
    </w:p>
    <w:p w14:paraId="36421104">
      <w:pPr>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（响应文件一）</w:t>
      </w:r>
    </w:p>
    <w:p w14:paraId="6CF37605">
      <w:pPr>
        <w:jc w:val="center"/>
        <w:rPr>
          <w:rFonts w:hint="eastAsia" w:ascii="宋体" w:hAnsi="宋体" w:cs="宋体"/>
          <w:color w:val="auto"/>
          <w:sz w:val="44"/>
          <w:szCs w:val="44"/>
          <w:highlight w:val="none"/>
        </w:rPr>
      </w:pPr>
    </w:p>
    <w:p w14:paraId="379E420A">
      <w:pPr>
        <w:jc w:val="center"/>
        <w:rPr>
          <w:rFonts w:hint="eastAsia" w:ascii="宋体" w:hAnsi="宋体" w:cs="宋体"/>
          <w:color w:val="auto"/>
          <w:sz w:val="32"/>
          <w:szCs w:val="32"/>
          <w:highlight w:val="none"/>
        </w:rPr>
      </w:pPr>
      <w:r>
        <w:rPr>
          <w:rFonts w:hint="eastAsia" w:ascii="宋体" w:hAnsi="宋体" w:cs="宋体"/>
          <w:color w:val="auto"/>
          <w:sz w:val="32"/>
          <w:szCs w:val="32"/>
          <w:highlight w:val="none"/>
          <w:u w:val="single"/>
        </w:rPr>
        <w:t xml:space="preserve">                 </w:t>
      </w:r>
      <w:r>
        <w:rPr>
          <w:rFonts w:hint="eastAsia" w:ascii="宋体" w:hAnsi="宋体" w:cs="宋体"/>
          <w:color w:val="auto"/>
          <w:sz w:val="32"/>
          <w:szCs w:val="32"/>
          <w:highlight w:val="none"/>
        </w:rPr>
        <w:t>项目名称</w:t>
      </w:r>
    </w:p>
    <w:p w14:paraId="36895754">
      <w:pPr>
        <w:ind w:firstLine="3360" w:firstLineChars="1200"/>
        <w:rPr>
          <w:rFonts w:hint="eastAsia" w:ascii="宋体" w:hAnsi="宋体" w:cs="宋体"/>
          <w:color w:val="auto"/>
          <w:sz w:val="44"/>
          <w:szCs w:val="44"/>
          <w:highlight w:val="none"/>
        </w:rPr>
      </w:pPr>
      <w:r>
        <w:rPr>
          <w:rFonts w:hint="eastAsia" w:ascii="宋体" w:hAnsi="宋体" w:cs="宋体"/>
          <w:color w:val="auto"/>
          <w:sz w:val="28"/>
          <w:szCs w:val="28"/>
          <w:highlight w:val="none"/>
        </w:rPr>
        <w:t>项目编号</w:t>
      </w:r>
      <w:r>
        <w:rPr>
          <w:rFonts w:hint="eastAsia" w:ascii="宋体" w:hAnsi="宋体" w:cs="宋体"/>
          <w:color w:val="auto"/>
          <w:sz w:val="28"/>
          <w:szCs w:val="28"/>
          <w:highlight w:val="none"/>
          <w:u w:val="single"/>
        </w:rPr>
        <w:t xml:space="preserve">        </w:t>
      </w:r>
    </w:p>
    <w:p w14:paraId="12D28BC6">
      <w:pPr>
        <w:rPr>
          <w:rFonts w:hint="eastAsia" w:ascii="宋体" w:hAnsi="宋体" w:cs="宋体"/>
          <w:color w:val="auto"/>
          <w:sz w:val="28"/>
          <w:szCs w:val="28"/>
          <w:highlight w:val="none"/>
        </w:rPr>
      </w:pPr>
    </w:p>
    <w:p w14:paraId="00D984EF">
      <w:pPr>
        <w:rPr>
          <w:rFonts w:hint="eastAsia" w:ascii="宋体" w:hAnsi="宋体" w:cs="宋体"/>
          <w:color w:val="auto"/>
          <w:sz w:val="28"/>
          <w:szCs w:val="28"/>
          <w:highlight w:val="none"/>
        </w:rPr>
      </w:pPr>
    </w:p>
    <w:p w14:paraId="66B52133">
      <w:pPr>
        <w:rPr>
          <w:rFonts w:hint="eastAsia" w:ascii="宋体" w:hAnsi="宋体" w:cs="宋体"/>
          <w:color w:val="auto"/>
          <w:sz w:val="28"/>
          <w:szCs w:val="28"/>
          <w:highlight w:val="none"/>
        </w:rPr>
      </w:pPr>
    </w:p>
    <w:p w14:paraId="74D57066">
      <w:pPr>
        <w:rPr>
          <w:rFonts w:hint="eastAsia" w:ascii="宋体" w:hAnsi="宋体" w:cs="宋体"/>
          <w:color w:val="auto"/>
          <w:sz w:val="28"/>
          <w:szCs w:val="28"/>
          <w:highlight w:val="none"/>
        </w:rPr>
      </w:pPr>
    </w:p>
    <w:p w14:paraId="20D210CB">
      <w:pPr>
        <w:rPr>
          <w:rFonts w:hint="eastAsia" w:ascii="宋体" w:hAnsi="宋体" w:cs="宋体"/>
          <w:color w:val="auto"/>
          <w:sz w:val="28"/>
          <w:szCs w:val="28"/>
          <w:highlight w:val="none"/>
        </w:rPr>
      </w:pPr>
    </w:p>
    <w:p w14:paraId="187C51F4">
      <w:pPr>
        <w:rPr>
          <w:rFonts w:hint="eastAsia" w:ascii="宋体" w:hAnsi="宋体" w:cs="宋体"/>
          <w:color w:val="auto"/>
          <w:sz w:val="28"/>
          <w:szCs w:val="28"/>
          <w:highlight w:val="none"/>
        </w:rPr>
      </w:pPr>
    </w:p>
    <w:p w14:paraId="59D1707F">
      <w:pPr>
        <w:rPr>
          <w:rFonts w:hint="eastAsia" w:ascii="宋体" w:hAnsi="宋体" w:cs="宋体"/>
          <w:color w:val="auto"/>
          <w:sz w:val="28"/>
          <w:szCs w:val="28"/>
          <w:highlight w:val="none"/>
        </w:rPr>
      </w:pPr>
    </w:p>
    <w:p w14:paraId="7577D774">
      <w:pPr>
        <w:rPr>
          <w:rFonts w:hint="eastAsia" w:ascii="宋体" w:hAnsi="宋体" w:cs="宋体"/>
          <w:color w:val="auto"/>
          <w:sz w:val="28"/>
          <w:szCs w:val="28"/>
          <w:highlight w:val="none"/>
        </w:rPr>
      </w:pPr>
    </w:p>
    <w:p w14:paraId="0CD0DB8F">
      <w:pPr>
        <w:rPr>
          <w:rFonts w:hint="eastAsia" w:ascii="宋体" w:hAnsi="宋体" w:cs="宋体"/>
          <w:color w:val="auto"/>
          <w:sz w:val="28"/>
          <w:szCs w:val="28"/>
          <w:highlight w:val="none"/>
        </w:rPr>
      </w:pPr>
    </w:p>
    <w:p w14:paraId="10A06240">
      <w:pPr>
        <w:rPr>
          <w:rFonts w:hint="eastAsia" w:ascii="宋体" w:hAnsi="宋体" w:cs="宋体"/>
          <w:color w:val="auto"/>
          <w:sz w:val="28"/>
          <w:szCs w:val="28"/>
          <w:highlight w:val="none"/>
        </w:rPr>
      </w:pPr>
    </w:p>
    <w:p w14:paraId="39827BF0">
      <w:pPr>
        <w:jc w:val="center"/>
        <w:rPr>
          <w:rFonts w:hint="eastAsia" w:ascii="宋体" w:hAnsi="宋体" w:cs="宋体"/>
          <w:color w:val="auto"/>
          <w:sz w:val="28"/>
          <w:szCs w:val="28"/>
          <w:highlight w:val="none"/>
          <w:u w:val="single"/>
        </w:rPr>
      </w:pPr>
      <w:r>
        <w:rPr>
          <w:rFonts w:hint="eastAsia" w:ascii="宋体" w:hAnsi="宋体" w:cs="宋体"/>
          <w:color w:val="auto"/>
          <w:sz w:val="28"/>
          <w:szCs w:val="28"/>
          <w:highlight w:val="none"/>
        </w:rPr>
        <w:t>供应商：</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（盖单位章）</w:t>
      </w:r>
    </w:p>
    <w:p w14:paraId="3BF3CB3C">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法定代表人：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（签字或盖章）</w:t>
      </w:r>
    </w:p>
    <w:p w14:paraId="4DE64D88">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p>
    <w:p w14:paraId="5D5EBFEF">
      <w:pPr>
        <w:spacing w:line="360" w:lineRule="auto"/>
        <w:jc w:val="center"/>
        <w:rPr>
          <w:rFonts w:hint="eastAsia" w:ascii="宋体" w:hAnsi="宋体" w:cs="宋体"/>
          <w:b/>
          <w:color w:val="auto"/>
          <w:sz w:val="36"/>
          <w:szCs w:val="36"/>
          <w:highlight w:val="none"/>
        </w:rPr>
      </w:pPr>
    </w:p>
    <w:p w14:paraId="08CF84D2">
      <w:pPr>
        <w:spacing w:line="360" w:lineRule="auto"/>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目  录</w:t>
      </w:r>
    </w:p>
    <w:p w14:paraId="6F6B5404">
      <w:pPr>
        <w:spacing w:line="440" w:lineRule="exact"/>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（1）法定代表人身份证明及其有效身份证（或法定代表人授权委托书及其有效身份证）（格式见附件）；</w:t>
      </w:r>
    </w:p>
    <w:p w14:paraId="4DB78354">
      <w:pPr>
        <w:spacing w:line="440" w:lineRule="exact"/>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（2）供应商有效的营业执照（或三证合一的有效证件）；</w:t>
      </w:r>
    </w:p>
    <w:p w14:paraId="1466FF46">
      <w:pPr>
        <w:spacing w:line="44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）诚信响应承诺书（格式见附件 ）；</w:t>
      </w:r>
    </w:p>
    <w:p w14:paraId="7889AB37">
      <w:pPr>
        <w:spacing w:line="44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）资信评审评分细则中所需要的证明材料；</w:t>
      </w:r>
    </w:p>
    <w:p w14:paraId="48B5CA06">
      <w:pPr>
        <w:spacing w:line="440" w:lineRule="exact"/>
        <w:ind w:firstLine="420" w:firstLineChars="200"/>
        <w:rPr>
          <w:rFonts w:hint="eastAsia" w:ascii="宋体" w:hAnsi="宋体" w:cs="宋体"/>
          <w:color w:val="auto"/>
          <w:kern w:val="0"/>
          <w:szCs w:val="21"/>
          <w:highlight w:val="none"/>
          <w:u w:val="none" w:color="000000"/>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）供应商针对本项目认为需要提供的其他证明材料。</w:t>
      </w:r>
    </w:p>
    <w:p w14:paraId="4815A37E">
      <w:pPr>
        <w:spacing w:line="440" w:lineRule="exact"/>
        <w:ind w:firstLine="422" w:firstLineChars="200"/>
        <w:rPr>
          <w:rFonts w:hint="eastAsia" w:ascii="宋体" w:hAnsi="宋体" w:cs="宋体"/>
          <w:color w:val="auto"/>
          <w:kern w:val="0"/>
          <w:szCs w:val="21"/>
          <w:highlight w:val="none"/>
        </w:rPr>
      </w:pPr>
      <w:r>
        <w:rPr>
          <w:rFonts w:hint="eastAsia" w:ascii="宋体" w:hAnsi="宋体" w:cs="宋体"/>
          <w:b/>
          <w:bCs/>
          <w:color w:val="auto"/>
          <w:szCs w:val="21"/>
          <w:highlight w:val="none"/>
        </w:rPr>
        <w:t>以上材料须按顺序装订，复印件均须加盖供应商公章。供应商所提交的</w:t>
      </w:r>
      <w:r>
        <w:rPr>
          <w:rFonts w:hint="eastAsia" w:ascii="宋体" w:hAnsi="宋体" w:cs="宋体"/>
          <w:b/>
          <w:color w:val="auto"/>
          <w:szCs w:val="21"/>
          <w:highlight w:val="none"/>
        </w:rPr>
        <w:t>资信</w:t>
      </w:r>
      <w:r>
        <w:rPr>
          <w:rFonts w:hint="eastAsia" w:ascii="宋体" w:hAnsi="宋体" w:cs="宋体"/>
          <w:b/>
          <w:bCs/>
          <w:color w:val="auto"/>
          <w:szCs w:val="21"/>
          <w:highlight w:val="none"/>
        </w:rPr>
        <w:t>文件的完整与否，直接影响供应商的评审</w:t>
      </w:r>
      <w:r>
        <w:rPr>
          <w:rFonts w:hint="eastAsia" w:ascii="宋体" w:hAnsi="宋体" w:cs="宋体"/>
          <w:b/>
          <w:bCs/>
          <w:color w:val="auto"/>
          <w:kern w:val="0"/>
          <w:szCs w:val="21"/>
          <w:highlight w:val="none"/>
        </w:rPr>
        <w:t>。</w:t>
      </w:r>
    </w:p>
    <w:p w14:paraId="707B4EC3">
      <w:pPr>
        <w:spacing w:line="457" w:lineRule="exact"/>
        <w:ind w:firstLine="480" w:firstLineChars="200"/>
        <w:rPr>
          <w:rFonts w:hint="eastAsia" w:ascii="宋体" w:hAnsi="宋体" w:cs="宋体"/>
          <w:color w:val="auto"/>
          <w:sz w:val="24"/>
          <w:szCs w:val="20"/>
          <w:highlight w:val="none"/>
        </w:rPr>
      </w:pPr>
    </w:p>
    <w:p w14:paraId="7E0B579D">
      <w:pPr>
        <w:spacing w:line="360" w:lineRule="auto"/>
        <w:ind w:left="63" w:leftChars="30" w:firstLine="480" w:firstLineChars="200"/>
        <w:rPr>
          <w:rFonts w:hint="eastAsia" w:ascii="宋体" w:hAnsi="宋体" w:cs="宋体"/>
          <w:color w:val="auto"/>
          <w:kern w:val="0"/>
          <w:sz w:val="24"/>
          <w:szCs w:val="20"/>
          <w:highlight w:val="none"/>
        </w:rPr>
      </w:pPr>
    </w:p>
    <w:p w14:paraId="00A27EAA">
      <w:pPr>
        <w:ind w:left="420" w:hanging="420"/>
        <w:rPr>
          <w:rFonts w:hint="eastAsia" w:ascii="宋体" w:hAnsi="宋体" w:cs="宋体"/>
          <w:color w:val="auto"/>
          <w:sz w:val="24"/>
          <w:highlight w:val="none"/>
        </w:rPr>
      </w:pPr>
    </w:p>
    <w:p w14:paraId="005D37B5">
      <w:pPr>
        <w:ind w:left="420" w:hanging="420"/>
        <w:rPr>
          <w:rFonts w:hint="eastAsia" w:ascii="宋体" w:hAnsi="宋体" w:cs="宋体"/>
          <w:color w:val="auto"/>
          <w:sz w:val="24"/>
          <w:highlight w:val="none"/>
        </w:rPr>
      </w:pPr>
    </w:p>
    <w:p w14:paraId="66BB0050">
      <w:pPr>
        <w:spacing w:line="457" w:lineRule="exact"/>
        <w:ind w:firstLine="480" w:firstLineChars="200"/>
        <w:rPr>
          <w:rFonts w:hint="eastAsia" w:ascii="宋体" w:hAnsi="宋体" w:cs="宋体"/>
          <w:color w:val="auto"/>
          <w:sz w:val="24"/>
          <w:szCs w:val="20"/>
          <w:highlight w:val="none"/>
        </w:rPr>
      </w:pPr>
    </w:p>
    <w:p w14:paraId="4F166C67">
      <w:pPr>
        <w:spacing w:line="457" w:lineRule="exact"/>
        <w:ind w:firstLine="480" w:firstLineChars="200"/>
        <w:rPr>
          <w:rFonts w:hint="eastAsia" w:ascii="宋体" w:hAnsi="宋体" w:cs="宋体"/>
          <w:color w:val="auto"/>
          <w:sz w:val="24"/>
          <w:szCs w:val="20"/>
          <w:highlight w:val="none"/>
        </w:rPr>
      </w:pPr>
    </w:p>
    <w:p w14:paraId="13DB7646">
      <w:pPr>
        <w:spacing w:line="457" w:lineRule="exact"/>
        <w:rPr>
          <w:rFonts w:hint="eastAsia" w:ascii="宋体" w:hAnsi="宋体" w:cs="宋体"/>
          <w:color w:val="auto"/>
          <w:sz w:val="24"/>
          <w:szCs w:val="20"/>
          <w:highlight w:val="none"/>
        </w:rPr>
      </w:pPr>
    </w:p>
    <w:p w14:paraId="31FB0107">
      <w:pPr>
        <w:pStyle w:val="2"/>
        <w:ind w:firstLine="420"/>
        <w:rPr>
          <w:rFonts w:hint="eastAsia" w:cs="宋体"/>
          <w:color w:val="auto"/>
          <w:highlight w:val="none"/>
        </w:rPr>
      </w:pPr>
    </w:p>
    <w:p w14:paraId="2EEEBED9">
      <w:pPr>
        <w:pStyle w:val="25"/>
        <w:rPr>
          <w:rFonts w:hint="eastAsia" w:ascii="宋体" w:hAnsi="宋体" w:eastAsia="宋体" w:cs="宋体"/>
          <w:color w:val="auto"/>
          <w:highlight w:val="none"/>
        </w:rPr>
      </w:pPr>
    </w:p>
    <w:p w14:paraId="29CE0302">
      <w:pPr>
        <w:pStyle w:val="25"/>
        <w:rPr>
          <w:rFonts w:hint="eastAsia" w:ascii="宋体" w:hAnsi="宋体" w:eastAsia="宋体" w:cs="宋体"/>
          <w:color w:val="auto"/>
          <w:highlight w:val="none"/>
        </w:rPr>
      </w:pPr>
    </w:p>
    <w:p w14:paraId="0FF0D149">
      <w:pPr>
        <w:pStyle w:val="25"/>
        <w:rPr>
          <w:rFonts w:hint="eastAsia" w:ascii="宋体" w:hAnsi="宋体" w:eastAsia="宋体" w:cs="宋体"/>
          <w:color w:val="auto"/>
          <w:highlight w:val="none"/>
        </w:rPr>
      </w:pPr>
    </w:p>
    <w:p w14:paraId="0A11C635">
      <w:pPr>
        <w:pStyle w:val="25"/>
        <w:rPr>
          <w:rFonts w:hint="eastAsia" w:ascii="宋体" w:hAnsi="宋体" w:eastAsia="宋体" w:cs="宋体"/>
          <w:color w:val="auto"/>
          <w:highlight w:val="none"/>
        </w:rPr>
      </w:pPr>
    </w:p>
    <w:p w14:paraId="5FE69239">
      <w:pPr>
        <w:pageBreakBefore/>
        <w:spacing w:line="360" w:lineRule="auto"/>
        <w:jc w:val="center"/>
        <w:outlineLvl w:val="1"/>
        <w:rPr>
          <w:rFonts w:hint="eastAsia" w:ascii="宋体" w:hAnsi="宋体" w:cs="宋体"/>
          <w:b/>
          <w:color w:val="auto"/>
          <w:sz w:val="28"/>
          <w:szCs w:val="28"/>
          <w:highlight w:val="none"/>
        </w:rPr>
      </w:pPr>
      <w:bookmarkStart w:id="169" w:name="_Toc466709895"/>
      <w:bookmarkStart w:id="170" w:name="_Toc466727476"/>
      <w:bookmarkStart w:id="171" w:name="_Toc477418345"/>
      <w:r>
        <w:rPr>
          <w:rFonts w:hint="eastAsia" w:ascii="宋体" w:hAnsi="宋体" w:cs="宋体"/>
          <w:b/>
          <w:color w:val="auto"/>
          <w:sz w:val="28"/>
          <w:szCs w:val="28"/>
          <w:highlight w:val="none"/>
        </w:rPr>
        <w:t>附件1、法定代表人身份证明或授权委托书</w:t>
      </w:r>
      <w:bookmarkEnd w:id="169"/>
      <w:bookmarkEnd w:id="170"/>
      <w:bookmarkEnd w:id="171"/>
    </w:p>
    <w:p w14:paraId="1699A2F5">
      <w:pPr>
        <w:widowControl/>
        <w:spacing w:before="312" w:beforeLines="100" w:after="312" w:afterLines="100" w:line="480" w:lineRule="exact"/>
        <w:ind w:firstLine="180" w:firstLineChars="75"/>
        <w:jc w:val="center"/>
        <w:textAlignment w:val="baseline"/>
        <w:rPr>
          <w:rFonts w:hint="eastAsia" w:ascii="宋体" w:hAnsi="宋体" w:cs="宋体"/>
          <w:b/>
          <w:color w:val="auto"/>
          <w:kern w:val="0"/>
          <w:sz w:val="24"/>
          <w:highlight w:val="none"/>
          <w:u w:val="none" w:color="000000"/>
        </w:rPr>
      </w:pPr>
      <w:r>
        <w:rPr>
          <w:rFonts w:hint="eastAsia" w:ascii="宋体" w:hAnsi="宋体" w:cs="宋体"/>
          <w:color w:val="auto"/>
          <w:kern w:val="0"/>
          <w:sz w:val="24"/>
          <w:highlight w:val="none"/>
          <w:u w:val="none" w:color="000000"/>
        </w:rPr>
        <w:t>法定代表人身份证明</w:t>
      </w:r>
    </w:p>
    <w:p w14:paraId="2E88FE0F">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6EA5FAE7">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单位性质：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76F4CC6B">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108E2EB8">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成立时间：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0B82DCB3">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经营期限：</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2D35BAD">
      <w:pPr>
        <w:spacing w:line="480" w:lineRule="exact"/>
        <w:ind w:firstLine="1440" w:firstLineChars="200"/>
        <w:rPr>
          <w:rFonts w:hint="eastAsia" w:ascii="宋体" w:hAnsi="宋体" w:cs="宋体"/>
          <w:color w:val="auto"/>
          <w:sz w:val="24"/>
          <w:highlight w:val="none"/>
        </w:rPr>
      </w:pPr>
      <w:r>
        <w:rPr>
          <w:rFonts w:hint="eastAsia" w:ascii="宋体" w:hAnsi="宋体" w:cs="宋体"/>
          <w:color w:val="auto"/>
          <w:spacing w:val="240"/>
          <w:sz w:val="24"/>
          <w:highlight w:val="none"/>
        </w:rPr>
        <w:t>姓</w:t>
      </w:r>
      <w:r>
        <w:rPr>
          <w:rFonts w:hint="eastAsia" w:ascii="宋体" w:hAnsi="宋体" w:cs="宋体"/>
          <w:color w:val="auto"/>
          <w:sz w:val="24"/>
          <w:highlight w:val="none"/>
        </w:rPr>
        <w:t>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性别：</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_</w:t>
      </w:r>
    </w:p>
    <w:p w14:paraId="6E515B7E">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（供应商名称）的法定代表人。</w:t>
      </w:r>
    </w:p>
    <w:p w14:paraId="1E986058">
      <w:pPr>
        <w:spacing w:line="480" w:lineRule="exact"/>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7303B3CE">
      <w:pPr>
        <w:spacing w:line="480" w:lineRule="exact"/>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附：</w:t>
      </w:r>
      <w:r>
        <w:rPr>
          <w:rFonts w:hint="eastAsia" w:ascii="宋体" w:hAnsi="宋体" w:eastAsia="宋体" w:cs="宋体"/>
          <w:color w:val="auto"/>
          <w:sz w:val="24"/>
          <w:highlight w:val="none"/>
          <w:lang w:val="en-US" w:eastAsia="zh-CN"/>
        </w:rPr>
        <w:t>法定代表</w:t>
      </w:r>
      <w:r>
        <w:rPr>
          <w:rFonts w:hint="eastAsia" w:ascii="宋体" w:hAnsi="宋体" w:eastAsia="宋体" w:cs="宋体"/>
          <w:color w:val="auto"/>
          <w:sz w:val="24"/>
          <w:highlight w:val="none"/>
        </w:rPr>
        <w:t>人身份证明</w:t>
      </w:r>
    </w:p>
    <w:p w14:paraId="1F530B8D">
      <w:pPr>
        <w:spacing w:line="360" w:lineRule="auto"/>
        <w:ind w:firstLine="3480" w:firstLineChars="1450"/>
        <w:rPr>
          <w:rFonts w:hint="eastAsia" w:ascii="宋体" w:hAnsi="宋体" w:cs="宋体"/>
          <w:color w:val="auto"/>
          <w:sz w:val="24"/>
          <w:highlight w:val="none"/>
        </w:rPr>
      </w:pPr>
      <w:r>
        <w:rPr>
          <w:rFonts w:hint="eastAsia" w:ascii="宋体" w:hAnsi="宋体" w:cs="宋体"/>
          <w:color w:val="auto"/>
          <w:sz w:val="24"/>
          <w:highlight w:val="none"/>
        </w:rPr>
        <w:t>供应商：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14:paraId="74E7D9B6">
      <w:pPr>
        <w:spacing w:line="360" w:lineRule="auto"/>
        <w:rPr>
          <w:rFonts w:hint="eastAsia" w:ascii="宋体" w:hAnsi="宋体" w:cs="宋体"/>
          <w:color w:val="auto"/>
          <w:szCs w:val="20"/>
          <w:highlight w:val="none"/>
        </w:rPr>
      </w:pPr>
      <w:r>
        <w:rPr>
          <w:rFonts w:hint="eastAsia" w:ascii="宋体" w:hAnsi="宋体" w:cs="宋体"/>
          <w:color w:val="auto"/>
          <w:sz w:val="24"/>
          <w:highlight w:val="none"/>
        </w:rPr>
        <w:t xml:space="preserve">                                        年    月     日</w:t>
      </w:r>
    </w:p>
    <w:p w14:paraId="22E6F848">
      <w:pPr>
        <w:widowControl/>
        <w:spacing w:before="312" w:beforeLines="100" w:after="312" w:afterLines="100" w:line="480" w:lineRule="exact"/>
        <w:ind w:firstLine="180" w:firstLineChars="75"/>
        <w:jc w:val="center"/>
        <w:textAlignment w:val="baseline"/>
        <w:rPr>
          <w:rFonts w:hint="eastAsia" w:ascii="宋体" w:hAnsi="宋体" w:cs="宋体"/>
          <w:color w:val="auto"/>
          <w:kern w:val="0"/>
          <w:sz w:val="24"/>
          <w:highlight w:val="none"/>
          <w:u w:val="none" w:color="000000"/>
        </w:rPr>
      </w:pPr>
      <w:r>
        <w:rPr>
          <w:rFonts w:hint="eastAsia" w:ascii="宋体" w:hAnsi="宋体" w:cs="宋体"/>
          <w:color w:val="auto"/>
          <w:kern w:val="0"/>
          <w:sz w:val="24"/>
          <w:highlight w:val="none"/>
          <w:u w:val="none" w:color="000000"/>
        </w:rPr>
        <w:t>授权委托书</w:t>
      </w:r>
    </w:p>
    <w:p w14:paraId="1A42D41F">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本人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（供应商）的法定代表人，现委托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（姓名）为我方代理人。代理人根据授权，以我方名义签署、澄清、说明、补正、递交、撤回、修改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”（项目名称、编号）磋商文件，全权处理与该项目磋商、评审答疑、签订合同以及与合同执行有关的一切事务，其法律后果由我方承担。</w:t>
      </w:r>
    </w:p>
    <w:p w14:paraId="6E1FBBED">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委托期限：                                </w:t>
      </w:r>
    </w:p>
    <w:p w14:paraId="37A2583F">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代理人无转委托权。</w:t>
      </w:r>
    </w:p>
    <w:p w14:paraId="11CD6E33">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附：</w:t>
      </w:r>
      <w:r>
        <w:rPr>
          <w:rFonts w:hint="eastAsia" w:ascii="宋体" w:hAnsi="宋体" w:cs="宋体"/>
          <w:color w:val="auto"/>
          <w:sz w:val="24"/>
          <w:highlight w:val="none"/>
          <w:lang w:val="en-US" w:eastAsia="zh-CN"/>
        </w:rPr>
        <w:t>法定代表</w:t>
      </w:r>
      <w:r>
        <w:rPr>
          <w:rFonts w:hint="eastAsia" w:ascii="宋体" w:hAnsi="宋体" w:cs="宋体"/>
          <w:color w:val="auto"/>
          <w:sz w:val="24"/>
          <w:highlight w:val="none"/>
        </w:rPr>
        <w:t>人身份证明</w:t>
      </w:r>
      <w:r>
        <w:rPr>
          <w:rFonts w:hint="eastAsia" w:ascii="宋体" w:hAnsi="宋体" w:cs="宋体"/>
          <w:color w:val="auto"/>
          <w:sz w:val="24"/>
          <w:highlight w:val="none"/>
          <w:lang w:val="en-US" w:eastAsia="zh-CN"/>
        </w:rPr>
        <w:t>和</w:t>
      </w:r>
      <w:r>
        <w:rPr>
          <w:rFonts w:hint="eastAsia" w:ascii="宋体" w:hAnsi="宋体" w:cs="宋体"/>
          <w:color w:val="auto"/>
          <w:sz w:val="24"/>
          <w:highlight w:val="none"/>
        </w:rPr>
        <w:t>委托代理人身份证明</w:t>
      </w:r>
    </w:p>
    <w:p w14:paraId="6BDF366A">
      <w:pPr>
        <w:spacing w:line="360" w:lineRule="auto"/>
        <w:ind w:left="63" w:leftChars="30" w:firstLine="420" w:firstLineChars="200"/>
        <w:rPr>
          <w:rFonts w:hint="eastAsia" w:ascii="宋体" w:hAnsi="宋体" w:cs="宋体"/>
          <w:color w:val="auto"/>
          <w:kern w:val="0"/>
          <w:szCs w:val="20"/>
          <w:highlight w:val="none"/>
        </w:rPr>
      </w:pPr>
    </w:p>
    <w:p w14:paraId="329B4407">
      <w:pPr>
        <w:spacing w:line="480" w:lineRule="exact"/>
        <w:rPr>
          <w:rFonts w:hint="eastAsia" w:ascii="宋体" w:hAnsi="宋体" w:cs="宋体"/>
          <w:color w:val="auto"/>
          <w:sz w:val="24"/>
          <w:highlight w:val="none"/>
        </w:rPr>
      </w:pPr>
      <w:r>
        <w:rPr>
          <w:rFonts w:hint="eastAsia" w:ascii="宋体" w:hAnsi="宋体" w:cs="宋体"/>
          <w:color w:val="auto"/>
          <w:sz w:val="24"/>
          <w:highlight w:val="none"/>
        </w:rPr>
        <w:t xml:space="preserve">                    供应商（盖单位章）：</w:t>
      </w:r>
    </w:p>
    <w:p w14:paraId="647C845E">
      <w:pPr>
        <w:spacing w:line="480" w:lineRule="exact"/>
        <w:ind w:left="1676" w:leftChars="798" w:firstLine="0" w:firstLineChars="0"/>
        <w:rPr>
          <w:rFonts w:hint="eastAsia" w:ascii="宋体" w:hAnsi="宋体" w:cs="宋体"/>
          <w:color w:val="auto"/>
          <w:sz w:val="24"/>
          <w:highlight w:val="none"/>
        </w:rPr>
      </w:pPr>
      <w:r>
        <w:rPr>
          <w:rFonts w:hint="eastAsia" w:ascii="宋体" w:hAnsi="宋体" w:cs="宋体"/>
          <w:color w:val="auto"/>
          <w:sz w:val="24"/>
          <w:highlight w:val="none"/>
        </w:rPr>
        <w:t xml:space="preserve">法定代表人（身份证号码）：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（签字或盖章）委托代理人（身份证号码）：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（签字或盖章）</w:t>
      </w:r>
    </w:p>
    <w:p w14:paraId="1F59B190">
      <w:pPr>
        <w:spacing w:line="480" w:lineRule="exact"/>
        <w:ind w:firstLine="2820" w:firstLineChars="1175"/>
        <w:jc w:val="right"/>
        <w:rPr>
          <w:rFonts w:hint="eastAsia" w:ascii="宋体" w:hAnsi="宋体" w:cs="宋体"/>
          <w:b/>
          <w:color w:val="auto"/>
          <w:sz w:val="28"/>
          <w:szCs w:val="28"/>
          <w:highlight w:val="none"/>
        </w:rPr>
      </w:pPr>
      <w:r>
        <w:rPr>
          <w:rFonts w:hint="eastAsia" w:ascii="宋体" w:hAnsi="宋体" w:cs="宋体"/>
          <w:color w:val="auto"/>
          <w:sz w:val="24"/>
          <w:szCs w:val="20"/>
          <w:highlight w:val="none"/>
        </w:rPr>
        <w:t xml:space="preserve">              年    月    日</w:t>
      </w:r>
    </w:p>
    <w:p w14:paraId="4FB633B0">
      <w:pPr>
        <w:spacing w:line="400" w:lineRule="exact"/>
        <w:ind w:firstLine="562" w:firstLineChars="200"/>
        <w:rPr>
          <w:rFonts w:hint="eastAsia" w:ascii="宋体" w:hAnsi="宋体" w:cs="宋体"/>
          <w:b/>
          <w:color w:val="auto"/>
          <w:sz w:val="28"/>
          <w:szCs w:val="28"/>
          <w:highlight w:val="none"/>
        </w:rPr>
      </w:pPr>
    </w:p>
    <w:p w14:paraId="4F40D694">
      <w:pPr>
        <w:spacing w:line="360" w:lineRule="auto"/>
        <w:jc w:val="center"/>
        <w:outlineLvl w:val="1"/>
        <w:rPr>
          <w:rFonts w:hint="eastAsia" w:ascii="宋体" w:hAnsi="宋体" w:cs="宋体"/>
          <w:b/>
          <w:color w:val="auto"/>
          <w:sz w:val="28"/>
          <w:szCs w:val="28"/>
          <w:highlight w:val="none"/>
        </w:rPr>
      </w:pPr>
      <w:r>
        <w:rPr>
          <w:rFonts w:hint="eastAsia" w:ascii="宋体" w:hAnsi="宋体" w:cs="宋体"/>
          <w:b/>
          <w:color w:val="auto"/>
          <w:sz w:val="28"/>
          <w:szCs w:val="28"/>
          <w:highlight w:val="none"/>
        </w:rPr>
        <w:t>附件2、诚信响应承诺书</w:t>
      </w:r>
    </w:p>
    <w:p w14:paraId="09BDF746">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本人以企业法定代表人的身份郑重承诺：</w:t>
      </w:r>
    </w:p>
    <w:p w14:paraId="5487AC61">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一、将遵循公开、公正和诚实信用的原则自愿参加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项目的投标，所提供的一切材料都是真实、有效、合法的；</w:t>
      </w:r>
    </w:p>
    <w:p w14:paraId="4C7DD5D3">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本单位郑重声明，我公司具有良好的商业信誉和健全的财务会计制度，具有履行合同所必需的设备和专业技术能力，具有依法缴纳税收和社会保障资金的良好记录；参加采购活动前三年内，本单位在经营活动中没有重大违法记录，没有因违法经营受到刑事处罚或者责令停产停业、吊销许可证或者执照、较大数额罚款等行政处罚。</w:t>
      </w:r>
    </w:p>
    <w:p w14:paraId="2B8E0A41">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三、不出借、转让资质证书，不让他人挂靠投标，不以他人名义投标或者以其他方式弄虚作假，骗取中标；</w:t>
      </w:r>
    </w:p>
    <w:p w14:paraId="700E64ED">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四、不与其他供应商相互串通投标报价，不排挤其他供应商的公平竞争、损害采购人的合法权益；</w:t>
      </w:r>
    </w:p>
    <w:p w14:paraId="6AE71CD3">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五、不与采购人、招标代理机构或其他供应商串通投标，损害国家利益、社会公共利益或者他人的合法权益；</w:t>
      </w:r>
    </w:p>
    <w:p w14:paraId="5EDEBC4E">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六、我公司没有下列情形： 1、被人民法院列入失信被执行人的；2、供应商或其法定代表人或拟派项目负责人前三年有行贿犯罪行为的；3、被市场监督管理部门列入经营异常名录或者严重违法企业名单的；4、被税收部门列入重大税收违法案件当事人的；5、被采购监管部门列入采购严重违法失信行为记录名单的；6、在“信用中国”网站上披露仍在公示期的严重失信行为的；7、被滁州市县两级行业主管部门及公管部门禁止在一定期限内参加采购活动且在禁止期限内的；8、被滁州市县两级公管部门记入不良行为记录或者信用信息记录，且在披露期内的；</w:t>
      </w:r>
    </w:p>
    <w:p w14:paraId="19AFF202">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七、严格遵守开标现场纪律，服从监管人员管理；</w:t>
      </w:r>
    </w:p>
    <w:p w14:paraId="7B8F7A92">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八、保证中标后不转包，若有分包征得采购人同意；</w:t>
      </w:r>
    </w:p>
    <w:p w14:paraId="54118CC0">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九、保证中标之后，按照响应文件要求提供相关后续服务；</w:t>
      </w:r>
    </w:p>
    <w:p w14:paraId="200C6C6E">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十、保证企业及所属相关人员在本次投标中无行贿等犯罪行为；</w:t>
      </w:r>
    </w:p>
    <w:p w14:paraId="6C28284E">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7EC04962">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以上内容我已仔细阅读，本公司若有违反承诺内容的行为，自愿接受取消投标或者中标资格、记入不良行为记录、投标保证金不予退还等有关处理，愿意承担法律责任，给采购人造成损失的，依法承担赔偿责任。</w:t>
      </w:r>
    </w:p>
    <w:p w14:paraId="660D2424">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w:t>
      </w:r>
    </w:p>
    <w:p w14:paraId="2441BBE9">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开户银行：                          基本账户：</w:t>
      </w:r>
    </w:p>
    <w:p w14:paraId="16689DDE">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供应商（盖单位章）：           法定代表人（签字）：</w:t>
      </w:r>
    </w:p>
    <w:p w14:paraId="470C1198">
      <w:pPr>
        <w:spacing w:line="440" w:lineRule="exact"/>
        <w:ind w:firstLine="420" w:firstLineChars="200"/>
        <w:rPr>
          <w:rFonts w:hint="eastAsia" w:ascii="宋体" w:hAnsi="宋体" w:cs="宋体"/>
          <w:color w:val="auto"/>
          <w:szCs w:val="21"/>
          <w:highlight w:val="none"/>
        </w:rPr>
      </w:pPr>
    </w:p>
    <w:p w14:paraId="2EE68B05">
      <w:pPr>
        <w:spacing w:line="440" w:lineRule="exact"/>
        <w:ind w:firstLine="420" w:firstLineChars="200"/>
        <w:jc w:val="right"/>
        <w:rPr>
          <w:rFonts w:hint="eastAsia" w:ascii="宋体" w:hAnsi="宋体" w:cs="宋体"/>
          <w:color w:val="auto"/>
          <w:sz w:val="32"/>
          <w:szCs w:val="32"/>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年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月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1CFFA1C0">
      <w:pPr>
        <w:spacing w:line="440" w:lineRule="exact"/>
        <w:ind w:firstLine="602" w:firstLineChars="200"/>
        <w:rPr>
          <w:rFonts w:hint="eastAsia" w:ascii="宋体" w:hAnsi="宋体" w:cs="宋体"/>
          <w:b/>
          <w:color w:val="auto"/>
          <w:sz w:val="30"/>
          <w:szCs w:val="30"/>
          <w:highlight w:val="none"/>
        </w:rPr>
      </w:pPr>
    </w:p>
    <w:p w14:paraId="3C9A4E4D">
      <w:pPr>
        <w:ind w:left="420" w:hanging="420"/>
        <w:rPr>
          <w:rFonts w:hint="eastAsia" w:ascii="宋体" w:hAnsi="宋体" w:cs="宋体"/>
          <w:b/>
          <w:color w:val="auto"/>
          <w:sz w:val="30"/>
          <w:szCs w:val="30"/>
          <w:highlight w:val="none"/>
        </w:rPr>
      </w:pPr>
    </w:p>
    <w:p w14:paraId="58FAA93E">
      <w:pPr>
        <w:ind w:firstLine="6860" w:firstLineChars="2450"/>
        <w:rPr>
          <w:rFonts w:hint="eastAsia" w:ascii="宋体" w:hAnsi="宋体" w:cs="宋体"/>
          <w:color w:val="auto"/>
          <w:sz w:val="28"/>
          <w:szCs w:val="28"/>
          <w:highlight w:val="none"/>
          <w:bdr w:val="single" w:color="auto" w:sz="4" w:space="0"/>
        </w:rPr>
      </w:pPr>
    </w:p>
    <w:p w14:paraId="28CBE1F1">
      <w:pPr>
        <w:ind w:firstLine="6860" w:firstLineChars="2450"/>
        <w:rPr>
          <w:rFonts w:hint="eastAsia" w:ascii="宋体" w:hAnsi="宋体" w:cs="宋体"/>
          <w:color w:val="auto"/>
          <w:sz w:val="28"/>
          <w:szCs w:val="28"/>
          <w:highlight w:val="none"/>
          <w:bdr w:val="single" w:color="auto" w:sz="4" w:space="0"/>
        </w:rPr>
      </w:pPr>
    </w:p>
    <w:p w14:paraId="150D35C8">
      <w:pPr>
        <w:ind w:firstLine="6860" w:firstLineChars="2450"/>
        <w:rPr>
          <w:rFonts w:hint="eastAsia" w:ascii="宋体" w:hAnsi="宋体" w:cs="宋体"/>
          <w:color w:val="auto"/>
          <w:sz w:val="28"/>
          <w:szCs w:val="28"/>
          <w:highlight w:val="none"/>
          <w:bdr w:val="single" w:color="auto" w:sz="4" w:space="0"/>
        </w:rPr>
      </w:pPr>
    </w:p>
    <w:p w14:paraId="3D1D9D66">
      <w:pPr>
        <w:ind w:firstLine="6860" w:firstLineChars="2450"/>
        <w:rPr>
          <w:rFonts w:hint="eastAsia" w:ascii="宋体" w:hAnsi="宋体" w:cs="宋体"/>
          <w:color w:val="auto"/>
          <w:sz w:val="28"/>
          <w:szCs w:val="28"/>
          <w:highlight w:val="none"/>
          <w:bdr w:val="single" w:color="auto" w:sz="4" w:space="0"/>
        </w:rPr>
      </w:pPr>
    </w:p>
    <w:p w14:paraId="6A68A8D1">
      <w:pPr>
        <w:ind w:firstLine="6860" w:firstLineChars="2450"/>
        <w:rPr>
          <w:rFonts w:hint="eastAsia" w:ascii="宋体" w:hAnsi="宋体" w:cs="宋体"/>
          <w:color w:val="auto"/>
          <w:sz w:val="28"/>
          <w:szCs w:val="28"/>
          <w:highlight w:val="none"/>
          <w:bdr w:val="single" w:color="auto" w:sz="4" w:space="0"/>
        </w:rPr>
      </w:pPr>
    </w:p>
    <w:p w14:paraId="24747A92">
      <w:pPr>
        <w:ind w:firstLine="6860" w:firstLineChars="2450"/>
        <w:rPr>
          <w:rFonts w:hint="eastAsia" w:ascii="宋体" w:hAnsi="宋体" w:cs="宋体"/>
          <w:color w:val="auto"/>
          <w:sz w:val="28"/>
          <w:szCs w:val="28"/>
          <w:highlight w:val="none"/>
          <w:bdr w:val="single" w:color="auto" w:sz="4" w:space="0"/>
        </w:rPr>
      </w:pPr>
    </w:p>
    <w:p w14:paraId="5638221F">
      <w:pPr>
        <w:ind w:firstLine="6860" w:firstLineChars="2450"/>
        <w:rPr>
          <w:rFonts w:hint="eastAsia" w:ascii="宋体" w:hAnsi="宋体" w:cs="宋体"/>
          <w:color w:val="auto"/>
          <w:sz w:val="28"/>
          <w:szCs w:val="28"/>
          <w:highlight w:val="none"/>
          <w:bdr w:val="single" w:color="auto" w:sz="4" w:space="0"/>
        </w:rPr>
      </w:pPr>
    </w:p>
    <w:p w14:paraId="4F87D985">
      <w:pPr>
        <w:ind w:firstLine="6860" w:firstLineChars="2450"/>
        <w:rPr>
          <w:rFonts w:hint="eastAsia" w:ascii="宋体" w:hAnsi="宋体" w:cs="宋体"/>
          <w:color w:val="auto"/>
          <w:sz w:val="28"/>
          <w:szCs w:val="28"/>
          <w:highlight w:val="none"/>
          <w:bdr w:val="single" w:color="auto" w:sz="4" w:space="0"/>
        </w:rPr>
      </w:pPr>
    </w:p>
    <w:p w14:paraId="452DA87C">
      <w:pPr>
        <w:ind w:firstLine="6860" w:firstLineChars="2450"/>
        <w:rPr>
          <w:rFonts w:hint="eastAsia" w:ascii="宋体" w:hAnsi="宋体" w:cs="宋体"/>
          <w:color w:val="auto"/>
          <w:sz w:val="28"/>
          <w:szCs w:val="28"/>
          <w:highlight w:val="none"/>
          <w:bdr w:val="single" w:color="auto" w:sz="4" w:space="0"/>
        </w:rPr>
      </w:pPr>
    </w:p>
    <w:p w14:paraId="0B22E092">
      <w:pPr>
        <w:pStyle w:val="2"/>
        <w:ind w:firstLine="560"/>
        <w:rPr>
          <w:rFonts w:hint="eastAsia" w:cs="宋体"/>
          <w:color w:val="auto"/>
          <w:sz w:val="28"/>
          <w:szCs w:val="28"/>
          <w:highlight w:val="none"/>
          <w:bdr w:val="single" w:color="auto" w:sz="4" w:space="0"/>
        </w:rPr>
      </w:pPr>
    </w:p>
    <w:p w14:paraId="46EC1B97">
      <w:pPr>
        <w:rPr>
          <w:rFonts w:hint="eastAsia" w:ascii="宋体" w:hAnsi="宋体" w:cs="宋体"/>
          <w:color w:val="auto"/>
          <w:sz w:val="28"/>
          <w:szCs w:val="28"/>
          <w:highlight w:val="none"/>
          <w:bdr w:val="single" w:color="auto" w:sz="4" w:space="0"/>
        </w:rPr>
      </w:pPr>
    </w:p>
    <w:p w14:paraId="0D6C4E2F">
      <w:pPr>
        <w:pStyle w:val="2"/>
        <w:ind w:firstLine="560"/>
        <w:rPr>
          <w:rFonts w:hint="eastAsia" w:cs="宋体"/>
          <w:color w:val="auto"/>
          <w:sz w:val="28"/>
          <w:szCs w:val="28"/>
          <w:highlight w:val="none"/>
          <w:bdr w:val="single" w:color="auto" w:sz="4" w:space="0"/>
        </w:rPr>
      </w:pPr>
    </w:p>
    <w:p w14:paraId="64D65A4D">
      <w:pPr>
        <w:rPr>
          <w:rFonts w:hint="eastAsia" w:ascii="宋体" w:hAnsi="宋体" w:cs="宋体"/>
          <w:color w:val="auto"/>
          <w:sz w:val="28"/>
          <w:szCs w:val="28"/>
          <w:highlight w:val="none"/>
          <w:bdr w:val="single" w:color="auto" w:sz="4" w:space="0"/>
        </w:rPr>
      </w:pPr>
    </w:p>
    <w:p w14:paraId="0FC8EBB4">
      <w:pPr>
        <w:pStyle w:val="2"/>
        <w:ind w:firstLine="560"/>
        <w:rPr>
          <w:rFonts w:hint="eastAsia" w:cs="宋体"/>
          <w:color w:val="auto"/>
          <w:sz w:val="28"/>
          <w:szCs w:val="28"/>
          <w:highlight w:val="none"/>
          <w:bdr w:val="single" w:color="auto" w:sz="4" w:space="0"/>
        </w:rPr>
      </w:pPr>
    </w:p>
    <w:p w14:paraId="54F4176F">
      <w:pPr>
        <w:rPr>
          <w:rFonts w:hint="eastAsia" w:ascii="宋体" w:hAnsi="宋体" w:cs="宋体"/>
          <w:color w:val="auto"/>
          <w:highlight w:val="none"/>
        </w:rPr>
      </w:pPr>
    </w:p>
    <w:p w14:paraId="0FFFC97D">
      <w:pPr>
        <w:jc w:val="center"/>
        <w:rPr>
          <w:rFonts w:hint="eastAsia" w:ascii="宋体" w:hAnsi="宋体" w:cs="宋体"/>
          <w:b/>
          <w:bCs/>
          <w:color w:val="auto"/>
          <w:sz w:val="27"/>
          <w:szCs w:val="27"/>
          <w:highlight w:val="none"/>
        </w:rPr>
      </w:pPr>
    </w:p>
    <w:p w14:paraId="6036FBCC">
      <w:pPr>
        <w:rPr>
          <w:rFonts w:hint="eastAsia" w:ascii="宋体" w:hAnsi="宋体" w:cs="宋体"/>
          <w:b/>
          <w:color w:val="auto"/>
          <w:sz w:val="30"/>
          <w:szCs w:val="30"/>
          <w:highlight w:val="none"/>
        </w:rPr>
      </w:pPr>
    </w:p>
    <w:p w14:paraId="7CB4FB7E">
      <w:pPr>
        <w:rPr>
          <w:rFonts w:hint="eastAsia" w:ascii="宋体" w:hAnsi="宋体" w:cs="宋体"/>
          <w:color w:val="auto"/>
          <w:sz w:val="28"/>
          <w:szCs w:val="28"/>
          <w:highlight w:val="none"/>
          <w:bdr w:val="single" w:color="auto" w:sz="4" w:space="0"/>
        </w:rPr>
      </w:pPr>
    </w:p>
    <w:p w14:paraId="367BCD25">
      <w:pPr>
        <w:rPr>
          <w:rFonts w:hint="eastAsia" w:ascii="宋体" w:hAnsi="宋体" w:cs="宋体"/>
          <w:color w:val="auto"/>
          <w:sz w:val="28"/>
          <w:szCs w:val="28"/>
          <w:highlight w:val="none"/>
          <w:bdr w:val="single" w:color="auto" w:sz="4" w:space="0"/>
        </w:rPr>
      </w:pPr>
    </w:p>
    <w:p w14:paraId="3B37D979">
      <w:pPr>
        <w:rPr>
          <w:rFonts w:hint="eastAsia" w:ascii="宋体" w:hAnsi="宋体" w:cs="宋体"/>
          <w:color w:val="auto"/>
          <w:sz w:val="28"/>
          <w:szCs w:val="28"/>
          <w:highlight w:val="none"/>
          <w:bdr w:val="single" w:color="auto" w:sz="4" w:space="0"/>
        </w:rPr>
      </w:pPr>
    </w:p>
    <w:p w14:paraId="33D4DA05">
      <w:pPr>
        <w:ind w:firstLine="6860" w:firstLineChars="2450"/>
        <w:rPr>
          <w:rFonts w:hint="eastAsia" w:ascii="宋体" w:hAnsi="宋体" w:cs="宋体"/>
          <w:color w:val="auto"/>
          <w:highlight w:val="none"/>
        </w:rPr>
      </w:pPr>
      <w:r>
        <w:rPr>
          <w:rFonts w:hint="eastAsia" w:ascii="宋体" w:hAnsi="宋体" w:cs="宋体"/>
          <w:color w:val="auto"/>
          <w:sz w:val="28"/>
          <w:szCs w:val="28"/>
          <w:highlight w:val="none"/>
          <w:bdr w:val="single" w:color="auto" w:sz="4" w:space="0"/>
        </w:rPr>
        <w:t>注明正本或副本</w:t>
      </w:r>
    </w:p>
    <w:p w14:paraId="1A135E6D">
      <w:pPr>
        <w:keepNext/>
        <w:keepLines/>
        <w:spacing w:before="340" w:after="330" w:line="576" w:lineRule="auto"/>
        <w:jc w:val="center"/>
        <w:outlineLvl w:val="0"/>
        <w:rPr>
          <w:rFonts w:hint="eastAsia" w:ascii="宋体" w:hAnsi="宋体" w:cs="宋体"/>
          <w:b/>
          <w:color w:val="auto"/>
          <w:kern w:val="44"/>
          <w:sz w:val="44"/>
          <w:highlight w:val="none"/>
        </w:rPr>
      </w:pPr>
      <w:bookmarkStart w:id="172" w:name="_Toc477418350"/>
      <w:r>
        <w:rPr>
          <w:rFonts w:hint="eastAsia" w:ascii="宋体" w:hAnsi="宋体" w:cs="宋体"/>
          <w:b/>
          <w:color w:val="auto"/>
          <w:kern w:val="44"/>
          <w:sz w:val="44"/>
          <w:highlight w:val="none"/>
        </w:rPr>
        <w:t>技术标</w:t>
      </w:r>
      <w:bookmarkEnd w:id="172"/>
    </w:p>
    <w:p w14:paraId="5735CB26">
      <w:pPr>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（响应文件二）</w:t>
      </w:r>
    </w:p>
    <w:p w14:paraId="4E6409FE">
      <w:pPr>
        <w:jc w:val="center"/>
        <w:rPr>
          <w:rFonts w:hint="eastAsia" w:ascii="宋体" w:hAnsi="宋体" w:cs="宋体"/>
          <w:color w:val="auto"/>
          <w:sz w:val="44"/>
          <w:szCs w:val="44"/>
          <w:highlight w:val="none"/>
        </w:rPr>
      </w:pPr>
    </w:p>
    <w:p w14:paraId="4A214202">
      <w:pPr>
        <w:jc w:val="center"/>
        <w:rPr>
          <w:rFonts w:hint="eastAsia" w:ascii="宋体" w:hAnsi="宋体" w:cs="宋体"/>
          <w:color w:val="auto"/>
          <w:sz w:val="32"/>
          <w:szCs w:val="32"/>
          <w:highlight w:val="none"/>
        </w:rPr>
      </w:pPr>
      <w:r>
        <w:rPr>
          <w:rFonts w:hint="eastAsia" w:ascii="宋体" w:hAnsi="宋体" w:cs="宋体"/>
          <w:color w:val="auto"/>
          <w:sz w:val="32"/>
          <w:szCs w:val="32"/>
          <w:highlight w:val="none"/>
          <w:u w:val="single"/>
        </w:rPr>
        <w:t xml:space="preserve">                    </w:t>
      </w:r>
      <w:r>
        <w:rPr>
          <w:rFonts w:hint="eastAsia" w:ascii="宋体" w:hAnsi="宋体" w:cs="宋体"/>
          <w:color w:val="auto"/>
          <w:sz w:val="32"/>
          <w:szCs w:val="32"/>
          <w:highlight w:val="none"/>
        </w:rPr>
        <w:t>项目名称</w:t>
      </w:r>
    </w:p>
    <w:p w14:paraId="0C6A05C5">
      <w:pPr>
        <w:ind w:firstLine="3360" w:firstLineChars="1200"/>
        <w:rPr>
          <w:rFonts w:hint="eastAsia" w:ascii="宋体" w:hAnsi="宋体" w:cs="宋体"/>
          <w:color w:val="auto"/>
          <w:sz w:val="44"/>
          <w:szCs w:val="44"/>
          <w:highlight w:val="none"/>
          <w:u w:val="single"/>
        </w:rPr>
      </w:pPr>
      <w:r>
        <w:rPr>
          <w:rFonts w:hint="eastAsia" w:ascii="宋体" w:hAnsi="宋体" w:cs="宋体"/>
          <w:color w:val="auto"/>
          <w:sz w:val="28"/>
          <w:szCs w:val="28"/>
          <w:highlight w:val="none"/>
        </w:rPr>
        <w:t>项目编号</w:t>
      </w:r>
      <w:r>
        <w:rPr>
          <w:rFonts w:hint="eastAsia" w:ascii="宋体" w:hAnsi="宋体" w:cs="宋体"/>
          <w:color w:val="auto"/>
          <w:sz w:val="28"/>
          <w:szCs w:val="28"/>
          <w:highlight w:val="none"/>
          <w:u w:val="single"/>
        </w:rPr>
        <w:t xml:space="preserve">           </w:t>
      </w:r>
    </w:p>
    <w:p w14:paraId="6FFE729F">
      <w:pPr>
        <w:rPr>
          <w:rFonts w:hint="eastAsia" w:ascii="宋体" w:hAnsi="宋体" w:cs="宋体"/>
          <w:color w:val="auto"/>
          <w:sz w:val="28"/>
          <w:szCs w:val="28"/>
          <w:highlight w:val="none"/>
        </w:rPr>
      </w:pPr>
    </w:p>
    <w:p w14:paraId="49EC4938">
      <w:pPr>
        <w:rPr>
          <w:rFonts w:hint="eastAsia" w:ascii="宋体" w:hAnsi="宋体" w:cs="宋体"/>
          <w:color w:val="auto"/>
          <w:sz w:val="28"/>
          <w:szCs w:val="28"/>
          <w:highlight w:val="none"/>
        </w:rPr>
      </w:pPr>
    </w:p>
    <w:p w14:paraId="2F12101B">
      <w:pPr>
        <w:rPr>
          <w:rFonts w:hint="eastAsia" w:ascii="宋体" w:hAnsi="宋体" w:cs="宋体"/>
          <w:color w:val="auto"/>
          <w:sz w:val="28"/>
          <w:szCs w:val="28"/>
          <w:highlight w:val="none"/>
        </w:rPr>
      </w:pPr>
    </w:p>
    <w:p w14:paraId="723CC5BD">
      <w:pPr>
        <w:rPr>
          <w:rFonts w:hint="eastAsia" w:ascii="宋体" w:hAnsi="宋体" w:cs="宋体"/>
          <w:color w:val="auto"/>
          <w:sz w:val="28"/>
          <w:szCs w:val="28"/>
          <w:highlight w:val="none"/>
        </w:rPr>
      </w:pPr>
    </w:p>
    <w:p w14:paraId="156DA0B5">
      <w:pPr>
        <w:rPr>
          <w:rFonts w:hint="eastAsia" w:ascii="宋体" w:hAnsi="宋体" w:cs="宋体"/>
          <w:color w:val="auto"/>
          <w:sz w:val="28"/>
          <w:szCs w:val="28"/>
          <w:highlight w:val="none"/>
        </w:rPr>
      </w:pPr>
    </w:p>
    <w:p w14:paraId="5203982A">
      <w:pPr>
        <w:rPr>
          <w:rFonts w:hint="eastAsia" w:ascii="宋体" w:hAnsi="宋体" w:cs="宋体"/>
          <w:color w:val="auto"/>
          <w:sz w:val="28"/>
          <w:szCs w:val="28"/>
          <w:highlight w:val="none"/>
        </w:rPr>
      </w:pPr>
    </w:p>
    <w:p w14:paraId="195C855A">
      <w:pPr>
        <w:rPr>
          <w:rFonts w:hint="eastAsia" w:ascii="宋体" w:hAnsi="宋体" w:cs="宋体"/>
          <w:color w:val="auto"/>
          <w:sz w:val="28"/>
          <w:szCs w:val="28"/>
          <w:highlight w:val="none"/>
        </w:rPr>
      </w:pPr>
    </w:p>
    <w:p w14:paraId="215732B9">
      <w:pPr>
        <w:rPr>
          <w:rFonts w:hint="eastAsia" w:ascii="宋体" w:hAnsi="宋体" w:cs="宋体"/>
          <w:color w:val="auto"/>
          <w:sz w:val="28"/>
          <w:szCs w:val="28"/>
          <w:highlight w:val="none"/>
        </w:rPr>
      </w:pPr>
    </w:p>
    <w:p w14:paraId="2383B158">
      <w:pPr>
        <w:rPr>
          <w:rFonts w:hint="eastAsia" w:ascii="宋体" w:hAnsi="宋体" w:cs="宋体"/>
          <w:color w:val="auto"/>
          <w:sz w:val="28"/>
          <w:szCs w:val="28"/>
          <w:highlight w:val="none"/>
        </w:rPr>
      </w:pPr>
    </w:p>
    <w:p w14:paraId="4AF45FF5">
      <w:pPr>
        <w:rPr>
          <w:rFonts w:hint="eastAsia" w:ascii="宋体" w:hAnsi="宋体" w:cs="宋体"/>
          <w:color w:val="auto"/>
          <w:sz w:val="28"/>
          <w:szCs w:val="28"/>
          <w:highlight w:val="none"/>
        </w:rPr>
      </w:pPr>
    </w:p>
    <w:p w14:paraId="24C7305D">
      <w:pPr>
        <w:jc w:val="center"/>
        <w:rPr>
          <w:rFonts w:hint="eastAsia" w:ascii="宋体" w:hAnsi="宋体" w:cs="宋体"/>
          <w:color w:val="auto"/>
          <w:sz w:val="28"/>
          <w:szCs w:val="28"/>
          <w:highlight w:val="none"/>
          <w:u w:val="single"/>
        </w:rPr>
      </w:pPr>
      <w:r>
        <w:rPr>
          <w:rFonts w:hint="eastAsia" w:ascii="宋体" w:hAnsi="宋体" w:cs="宋体"/>
          <w:color w:val="auto"/>
          <w:sz w:val="28"/>
          <w:szCs w:val="28"/>
          <w:highlight w:val="none"/>
        </w:rPr>
        <w:t>供应商：</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（盖单位章）</w:t>
      </w:r>
    </w:p>
    <w:p w14:paraId="53D562F9">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法定代表人：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（签字或盖章）</w:t>
      </w:r>
    </w:p>
    <w:p w14:paraId="66CD1AE8">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p>
    <w:p w14:paraId="747C5240">
      <w:pPr>
        <w:jc w:val="center"/>
        <w:rPr>
          <w:rFonts w:hint="eastAsia" w:ascii="宋体" w:hAnsi="宋体" w:cs="宋体"/>
          <w:color w:val="auto"/>
          <w:sz w:val="28"/>
          <w:szCs w:val="28"/>
          <w:highlight w:val="none"/>
        </w:rPr>
      </w:pPr>
    </w:p>
    <w:p w14:paraId="327D6416">
      <w:pPr>
        <w:pStyle w:val="2"/>
        <w:rPr>
          <w:rFonts w:hint="eastAsia"/>
          <w:color w:val="auto"/>
          <w:highlight w:val="none"/>
        </w:rPr>
        <w:sectPr>
          <w:pgSz w:w="11906" w:h="16838"/>
          <w:pgMar w:top="1134" w:right="1417" w:bottom="1134" w:left="1417" w:header="283" w:footer="680" w:gutter="0"/>
          <w:cols w:space="720" w:num="1"/>
          <w:titlePg/>
          <w:docGrid w:type="lines" w:linePitch="312" w:charSpace="0"/>
        </w:sectPr>
      </w:pPr>
    </w:p>
    <w:p w14:paraId="757565BA">
      <w:pPr>
        <w:spacing w:line="400" w:lineRule="exact"/>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目  录</w:t>
      </w:r>
    </w:p>
    <w:p w14:paraId="634BD6EA">
      <w:pPr>
        <w:pStyle w:val="2"/>
        <w:ind w:firstLine="420"/>
        <w:rPr>
          <w:rFonts w:hint="eastAsia" w:cs="宋体"/>
          <w:color w:val="auto"/>
          <w:highlight w:val="none"/>
        </w:rPr>
      </w:pPr>
    </w:p>
    <w:p w14:paraId="13FD59F0">
      <w:pPr>
        <w:spacing w:line="440" w:lineRule="exact"/>
        <w:ind w:right="-1" w:firstLine="420" w:firstLineChars="200"/>
        <w:rPr>
          <w:rFonts w:hint="eastAsia" w:ascii="宋体" w:hAnsi="宋体" w:eastAsia="宋体" w:cs="宋体"/>
          <w:color w:val="auto"/>
          <w:kern w:val="0"/>
          <w:szCs w:val="21"/>
          <w:highlight w:val="none"/>
        </w:rPr>
      </w:pPr>
      <w:bookmarkStart w:id="173" w:name="_Toc477418351"/>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服务方案（包括但不限于服务方案、</w:t>
      </w:r>
      <w:r>
        <w:rPr>
          <w:rFonts w:hint="eastAsia" w:ascii="宋体" w:hAnsi="宋体" w:eastAsia="宋体" w:cs="宋体"/>
          <w:color w:val="auto"/>
          <w:kern w:val="0"/>
          <w:szCs w:val="21"/>
          <w:highlight w:val="none"/>
        </w:rPr>
        <w:t>拟投入软硬件设备</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项目背景理解及需求</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重难点应对方案、</w:t>
      </w:r>
      <w:r>
        <w:rPr>
          <w:rFonts w:hint="eastAsia" w:ascii="宋体" w:hAnsi="宋体" w:eastAsia="宋体" w:cs="宋体"/>
          <w:color w:val="auto"/>
          <w:kern w:val="0"/>
          <w:szCs w:val="21"/>
          <w:highlight w:val="none"/>
        </w:rPr>
        <w:t>实施方案</w:t>
      </w:r>
      <w:r>
        <w:rPr>
          <w:rFonts w:hint="eastAsia" w:ascii="宋体" w:hAnsi="宋体" w:eastAsia="宋体" w:cs="宋体"/>
          <w:color w:val="auto"/>
          <w:kern w:val="0"/>
          <w:szCs w:val="21"/>
          <w:highlight w:val="none"/>
          <w:lang w:eastAsia="zh-CN"/>
        </w:rPr>
        <w:t>、管理制度、</w:t>
      </w:r>
      <w:r>
        <w:rPr>
          <w:rFonts w:hint="eastAsia" w:ascii="宋体" w:hAnsi="宋体" w:eastAsia="宋体" w:cs="宋体"/>
          <w:color w:val="auto"/>
          <w:kern w:val="0"/>
          <w:szCs w:val="21"/>
          <w:highlight w:val="none"/>
        </w:rPr>
        <w:t>质量保障</w:t>
      </w:r>
      <w:r>
        <w:rPr>
          <w:rFonts w:hint="eastAsia" w:ascii="宋体" w:hAnsi="宋体" w:eastAsia="宋体" w:cs="宋体"/>
          <w:color w:val="auto"/>
          <w:kern w:val="0"/>
          <w:szCs w:val="21"/>
          <w:highlight w:val="none"/>
          <w:lang w:eastAsia="zh-CN"/>
        </w:rPr>
        <w:t>方案、</w:t>
      </w:r>
      <w:r>
        <w:rPr>
          <w:rFonts w:hint="eastAsia" w:ascii="宋体" w:hAnsi="宋体" w:eastAsia="宋体" w:cs="宋体"/>
          <w:color w:val="auto"/>
          <w:kern w:val="0"/>
          <w:szCs w:val="21"/>
          <w:highlight w:val="none"/>
        </w:rPr>
        <w:t>培训</w:t>
      </w:r>
      <w:r>
        <w:rPr>
          <w:rFonts w:hint="eastAsia" w:ascii="宋体" w:hAnsi="宋体" w:eastAsia="宋体" w:cs="宋体"/>
          <w:color w:val="auto"/>
          <w:kern w:val="0"/>
          <w:szCs w:val="21"/>
          <w:highlight w:val="none"/>
          <w:lang w:eastAsia="zh-CN"/>
        </w:rPr>
        <w:t>方案、</w:t>
      </w:r>
      <w:r>
        <w:rPr>
          <w:rFonts w:hint="eastAsia" w:ascii="宋体" w:hAnsi="宋体" w:eastAsia="宋体" w:cs="宋体"/>
          <w:color w:val="auto"/>
          <w:kern w:val="0"/>
          <w:szCs w:val="21"/>
          <w:highlight w:val="none"/>
        </w:rPr>
        <w:t>应急方案</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售后服务能力</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保密方案</w:t>
      </w:r>
      <w:r>
        <w:rPr>
          <w:rFonts w:hint="eastAsia" w:ascii="宋体" w:hAnsi="宋体" w:eastAsia="宋体" w:cs="宋体"/>
          <w:color w:val="auto"/>
          <w:kern w:val="0"/>
          <w:szCs w:val="21"/>
          <w:highlight w:val="none"/>
          <w:lang w:val="en-US" w:eastAsia="zh-CN"/>
        </w:rPr>
        <w:t>等）</w:t>
      </w:r>
      <w:r>
        <w:rPr>
          <w:rFonts w:hint="eastAsia" w:ascii="宋体" w:hAnsi="宋体" w:eastAsia="宋体" w:cs="宋体"/>
          <w:color w:val="auto"/>
          <w:kern w:val="0"/>
          <w:szCs w:val="21"/>
          <w:highlight w:val="none"/>
        </w:rPr>
        <w:t>；</w:t>
      </w:r>
    </w:p>
    <w:p w14:paraId="57AB8980">
      <w:pPr>
        <w:spacing w:line="440" w:lineRule="exact"/>
        <w:ind w:right="-1"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（2）服务承诺（格式见附件）；</w:t>
      </w:r>
    </w:p>
    <w:p w14:paraId="5A5E63EA">
      <w:pPr>
        <w:spacing w:line="44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技术</w:t>
      </w:r>
      <w:r>
        <w:rPr>
          <w:rFonts w:hint="eastAsia" w:ascii="宋体" w:hAnsi="宋体" w:cs="宋体"/>
          <w:color w:val="auto"/>
          <w:szCs w:val="21"/>
          <w:highlight w:val="none"/>
        </w:rPr>
        <w:t>评审评分细则中所需要的证明材料；</w:t>
      </w:r>
    </w:p>
    <w:p w14:paraId="2B7ED374">
      <w:pPr>
        <w:spacing w:line="440" w:lineRule="exact"/>
        <w:ind w:right="-1"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）供应商针对本项目认为需要提供的其他证明材料；</w:t>
      </w:r>
    </w:p>
    <w:p w14:paraId="7B315A40">
      <w:pPr>
        <w:spacing w:line="440" w:lineRule="exact"/>
        <w:ind w:right="-1" w:firstLine="422" w:firstLineChars="200"/>
        <w:rPr>
          <w:rFonts w:hint="eastAsia" w:ascii="宋体" w:hAnsi="宋体" w:cs="宋体"/>
          <w:color w:val="auto"/>
          <w:kern w:val="0"/>
          <w:szCs w:val="21"/>
          <w:highlight w:val="none"/>
        </w:rPr>
      </w:pPr>
      <w:r>
        <w:rPr>
          <w:rFonts w:hint="eastAsia" w:ascii="宋体" w:hAnsi="宋体" w:cs="宋体"/>
          <w:b/>
          <w:bCs/>
          <w:color w:val="auto"/>
          <w:kern w:val="0"/>
          <w:szCs w:val="21"/>
          <w:highlight w:val="none"/>
        </w:rPr>
        <w:t xml:space="preserve">以上材料须按顺序装订，均须加盖供应商公章。供应商所提交的技术文件的完整与否，直接影响供应商的评审。 </w:t>
      </w:r>
    </w:p>
    <w:p w14:paraId="33A19939">
      <w:pPr>
        <w:widowControl/>
        <w:spacing w:line="357" w:lineRule="atLeast"/>
        <w:jc w:val="center"/>
        <w:textAlignment w:val="baseline"/>
        <w:rPr>
          <w:rFonts w:hint="eastAsia" w:ascii="宋体" w:hAnsi="宋体" w:cs="宋体"/>
          <w:b/>
          <w:color w:val="auto"/>
          <w:kern w:val="0"/>
          <w:sz w:val="30"/>
          <w:szCs w:val="30"/>
          <w:highlight w:val="none"/>
          <w:u w:val="none" w:color="000000"/>
        </w:rPr>
      </w:pPr>
    </w:p>
    <w:p w14:paraId="087C5B62">
      <w:pPr>
        <w:widowControl/>
        <w:spacing w:line="357" w:lineRule="atLeast"/>
        <w:jc w:val="center"/>
        <w:textAlignment w:val="baseline"/>
        <w:rPr>
          <w:rFonts w:hint="eastAsia" w:ascii="宋体" w:hAnsi="宋体" w:cs="宋体"/>
          <w:b/>
          <w:color w:val="auto"/>
          <w:kern w:val="0"/>
          <w:sz w:val="30"/>
          <w:szCs w:val="30"/>
          <w:highlight w:val="none"/>
          <w:u w:val="none" w:color="000000"/>
        </w:rPr>
      </w:pPr>
    </w:p>
    <w:p w14:paraId="0F518BEB">
      <w:pPr>
        <w:widowControl/>
        <w:spacing w:line="357" w:lineRule="atLeast"/>
        <w:jc w:val="center"/>
        <w:textAlignment w:val="baseline"/>
        <w:rPr>
          <w:rFonts w:hint="eastAsia" w:ascii="宋体" w:hAnsi="宋体" w:cs="宋体"/>
          <w:b/>
          <w:color w:val="auto"/>
          <w:kern w:val="0"/>
          <w:sz w:val="30"/>
          <w:szCs w:val="30"/>
          <w:highlight w:val="none"/>
          <w:u w:val="none" w:color="000000"/>
        </w:rPr>
      </w:pPr>
    </w:p>
    <w:p w14:paraId="77E7D34F">
      <w:pPr>
        <w:widowControl/>
        <w:spacing w:line="357" w:lineRule="atLeast"/>
        <w:jc w:val="center"/>
        <w:textAlignment w:val="baseline"/>
        <w:rPr>
          <w:rFonts w:hint="eastAsia" w:ascii="宋体" w:hAnsi="宋体" w:cs="宋体"/>
          <w:b/>
          <w:color w:val="auto"/>
          <w:kern w:val="0"/>
          <w:sz w:val="30"/>
          <w:szCs w:val="30"/>
          <w:highlight w:val="none"/>
          <w:u w:val="none" w:color="000000"/>
        </w:rPr>
      </w:pPr>
    </w:p>
    <w:p w14:paraId="445FD01E">
      <w:pPr>
        <w:widowControl/>
        <w:spacing w:line="357" w:lineRule="atLeast"/>
        <w:jc w:val="center"/>
        <w:textAlignment w:val="baseline"/>
        <w:rPr>
          <w:rFonts w:hint="eastAsia" w:ascii="宋体" w:hAnsi="宋体" w:cs="宋体"/>
          <w:b/>
          <w:color w:val="auto"/>
          <w:kern w:val="0"/>
          <w:sz w:val="30"/>
          <w:szCs w:val="30"/>
          <w:highlight w:val="none"/>
          <w:u w:val="none" w:color="000000"/>
        </w:rPr>
      </w:pPr>
    </w:p>
    <w:p w14:paraId="62EAC0F3">
      <w:pPr>
        <w:widowControl/>
        <w:spacing w:line="357" w:lineRule="atLeast"/>
        <w:jc w:val="center"/>
        <w:textAlignment w:val="baseline"/>
        <w:rPr>
          <w:rFonts w:hint="eastAsia" w:ascii="宋体" w:hAnsi="宋体" w:cs="宋体"/>
          <w:b/>
          <w:color w:val="auto"/>
          <w:kern w:val="0"/>
          <w:sz w:val="30"/>
          <w:szCs w:val="30"/>
          <w:highlight w:val="none"/>
          <w:u w:val="none" w:color="000000"/>
        </w:rPr>
      </w:pPr>
    </w:p>
    <w:p w14:paraId="1FF8BA61">
      <w:pPr>
        <w:widowControl/>
        <w:spacing w:line="357" w:lineRule="atLeast"/>
        <w:jc w:val="center"/>
        <w:textAlignment w:val="baseline"/>
        <w:rPr>
          <w:rFonts w:hint="eastAsia" w:ascii="宋体" w:hAnsi="宋体" w:cs="宋体"/>
          <w:b/>
          <w:color w:val="auto"/>
          <w:kern w:val="0"/>
          <w:sz w:val="30"/>
          <w:szCs w:val="30"/>
          <w:highlight w:val="none"/>
          <w:u w:val="none" w:color="000000"/>
        </w:rPr>
      </w:pPr>
    </w:p>
    <w:p w14:paraId="0486E8A5">
      <w:pPr>
        <w:rPr>
          <w:rFonts w:hint="eastAsia" w:ascii="宋体" w:hAnsi="宋体" w:cs="宋体"/>
          <w:color w:val="auto"/>
          <w:highlight w:val="none"/>
        </w:rPr>
      </w:pPr>
    </w:p>
    <w:p w14:paraId="0604C7E2">
      <w:pPr>
        <w:widowControl/>
        <w:spacing w:line="357" w:lineRule="atLeast"/>
        <w:jc w:val="center"/>
        <w:textAlignment w:val="baseline"/>
        <w:rPr>
          <w:rFonts w:hint="eastAsia" w:ascii="宋体" w:hAnsi="宋体" w:cs="宋体"/>
          <w:b/>
          <w:color w:val="auto"/>
          <w:kern w:val="0"/>
          <w:sz w:val="30"/>
          <w:szCs w:val="30"/>
          <w:highlight w:val="none"/>
          <w:u w:val="none" w:color="000000"/>
        </w:rPr>
      </w:pPr>
    </w:p>
    <w:p w14:paraId="75208417">
      <w:pPr>
        <w:widowControl/>
        <w:spacing w:line="357" w:lineRule="atLeast"/>
        <w:jc w:val="center"/>
        <w:textAlignment w:val="baseline"/>
        <w:rPr>
          <w:rFonts w:hint="eastAsia" w:ascii="宋体" w:hAnsi="宋体" w:cs="宋体"/>
          <w:b/>
          <w:color w:val="auto"/>
          <w:kern w:val="0"/>
          <w:sz w:val="30"/>
          <w:szCs w:val="30"/>
          <w:highlight w:val="none"/>
          <w:u w:val="none" w:color="000000"/>
        </w:rPr>
      </w:pPr>
    </w:p>
    <w:p w14:paraId="5EA47122">
      <w:pPr>
        <w:widowControl/>
        <w:spacing w:line="357" w:lineRule="atLeast"/>
        <w:jc w:val="center"/>
        <w:textAlignment w:val="baseline"/>
        <w:rPr>
          <w:rFonts w:hint="eastAsia" w:ascii="宋体" w:hAnsi="宋体" w:cs="宋体"/>
          <w:b/>
          <w:color w:val="auto"/>
          <w:kern w:val="0"/>
          <w:sz w:val="30"/>
          <w:szCs w:val="30"/>
          <w:highlight w:val="none"/>
          <w:u w:val="none" w:color="000000"/>
        </w:rPr>
      </w:pPr>
    </w:p>
    <w:p w14:paraId="452B781E">
      <w:pPr>
        <w:widowControl/>
        <w:spacing w:line="357" w:lineRule="atLeast"/>
        <w:jc w:val="center"/>
        <w:textAlignment w:val="baseline"/>
        <w:rPr>
          <w:rFonts w:hint="eastAsia" w:ascii="宋体" w:hAnsi="宋体" w:cs="宋体"/>
          <w:b/>
          <w:color w:val="auto"/>
          <w:kern w:val="0"/>
          <w:sz w:val="30"/>
          <w:szCs w:val="30"/>
          <w:highlight w:val="none"/>
          <w:u w:val="none" w:color="000000"/>
        </w:rPr>
      </w:pPr>
    </w:p>
    <w:p w14:paraId="03855567">
      <w:pPr>
        <w:widowControl/>
        <w:spacing w:line="357" w:lineRule="atLeast"/>
        <w:jc w:val="center"/>
        <w:textAlignment w:val="baseline"/>
        <w:rPr>
          <w:rFonts w:hint="eastAsia" w:ascii="宋体" w:hAnsi="宋体" w:cs="宋体"/>
          <w:b/>
          <w:color w:val="auto"/>
          <w:kern w:val="0"/>
          <w:sz w:val="30"/>
          <w:szCs w:val="30"/>
          <w:highlight w:val="none"/>
          <w:u w:val="none" w:color="000000"/>
        </w:rPr>
      </w:pPr>
    </w:p>
    <w:p w14:paraId="6941C0B5">
      <w:pPr>
        <w:pStyle w:val="2"/>
        <w:ind w:firstLine="602"/>
        <w:rPr>
          <w:rFonts w:hint="eastAsia" w:cs="宋体"/>
          <w:b/>
          <w:color w:val="auto"/>
          <w:kern w:val="0"/>
          <w:sz w:val="30"/>
          <w:szCs w:val="30"/>
          <w:highlight w:val="none"/>
          <w:u w:val="none" w:color="000000"/>
        </w:rPr>
      </w:pPr>
    </w:p>
    <w:p w14:paraId="1E646920">
      <w:pPr>
        <w:rPr>
          <w:rFonts w:hint="eastAsia" w:ascii="宋体" w:hAnsi="宋体" w:cs="宋体"/>
          <w:color w:val="auto"/>
          <w:highlight w:val="none"/>
        </w:rPr>
      </w:pPr>
    </w:p>
    <w:p w14:paraId="675B6A27">
      <w:pPr>
        <w:rPr>
          <w:rFonts w:hint="eastAsia" w:ascii="宋体" w:hAnsi="宋体" w:cs="宋体"/>
          <w:color w:val="auto"/>
          <w:highlight w:val="none"/>
        </w:rPr>
      </w:pPr>
    </w:p>
    <w:p w14:paraId="4EAC9983">
      <w:pPr>
        <w:widowControl/>
        <w:spacing w:line="357" w:lineRule="atLeast"/>
        <w:textAlignment w:val="baseline"/>
        <w:rPr>
          <w:rFonts w:hint="eastAsia" w:ascii="宋体" w:hAnsi="宋体" w:cs="宋体"/>
          <w:b/>
          <w:color w:val="auto"/>
          <w:kern w:val="0"/>
          <w:sz w:val="30"/>
          <w:szCs w:val="30"/>
          <w:highlight w:val="none"/>
          <w:u w:val="none" w:color="000000"/>
        </w:rPr>
      </w:pPr>
    </w:p>
    <w:p w14:paraId="0A6548E3">
      <w:pPr>
        <w:widowControl/>
        <w:spacing w:line="357" w:lineRule="atLeast"/>
        <w:textAlignment w:val="baseline"/>
        <w:rPr>
          <w:rFonts w:hint="eastAsia" w:ascii="宋体" w:hAnsi="宋体" w:cs="宋体"/>
          <w:b/>
          <w:color w:val="auto"/>
          <w:kern w:val="0"/>
          <w:sz w:val="30"/>
          <w:szCs w:val="30"/>
          <w:highlight w:val="none"/>
          <w:u w:val="none" w:color="000000"/>
        </w:rPr>
      </w:pPr>
    </w:p>
    <w:p w14:paraId="09615D9C">
      <w:pPr>
        <w:widowControl/>
        <w:spacing w:line="357" w:lineRule="atLeast"/>
        <w:jc w:val="center"/>
        <w:textAlignment w:val="baseline"/>
        <w:rPr>
          <w:rFonts w:hint="eastAsia" w:ascii="宋体" w:hAnsi="宋体" w:cs="宋体"/>
          <w:b/>
          <w:color w:val="auto"/>
          <w:kern w:val="0"/>
          <w:sz w:val="30"/>
          <w:szCs w:val="30"/>
          <w:highlight w:val="none"/>
          <w:u w:val="none" w:color="000000"/>
        </w:rPr>
      </w:pPr>
      <w:r>
        <w:rPr>
          <w:rFonts w:hint="eastAsia" w:ascii="宋体" w:hAnsi="宋体" w:cs="宋体"/>
          <w:b/>
          <w:color w:val="auto"/>
          <w:kern w:val="0"/>
          <w:sz w:val="30"/>
          <w:szCs w:val="30"/>
          <w:highlight w:val="none"/>
          <w:u w:val="none" w:color="000000"/>
        </w:rPr>
        <w:t>服务承诺书</w:t>
      </w:r>
    </w:p>
    <w:p w14:paraId="170626DC">
      <w:pPr>
        <w:widowControl/>
        <w:spacing w:line="357" w:lineRule="atLeast"/>
        <w:ind w:firstLine="480" w:firstLineChars="200"/>
        <w:textAlignment w:val="baseline"/>
        <w:rPr>
          <w:rFonts w:hint="eastAsia" w:ascii="宋体" w:hAnsi="宋体" w:cs="宋体"/>
          <w:color w:val="auto"/>
          <w:kern w:val="0"/>
          <w:sz w:val="24"/>
          <w:highlight w:val="none"/>
          <w:u w:val="none" w:color="000000"/>
        </w:rPr>
      </w:pPr>
    </w:p>
    <w:p w14:paraId="28E5BE21">
      <w:pPr>
        <w:widowControl/>
        <w:spacing w:line="357" w:lineRule="atLeast"/>
        <w:textAlignment w:val="baseline"/>
        <w:rPr>
          <w:rFonts w:hint="eastAsia" w:ascii="宋体" w:hAnsi="宋体" w:cs="宋体"/>
          <w:b/>
          <w:color w:val="auto"/>
          <w:kern w:val="0"/>
          <w:sz w:val="24"/>
          <w:highlight w:val="none"/>
          <w:u w:val="none" w:color="000000"/>
        </w:rPr>
      </w:pPr>
      <w:r>
        <w:rPr>
          <w:rFonts w:hint="eastAsia" w:ascii="宋体" w:hAnsi="宋体" w:cs="宋体"/>
          <w:color w:val="auto"/>
          <w:kern w:val="0"/>
          <w:sz w:val="24"/>
          <w:highlight w:val="none"/>
          <w:u w:val="none" w:color="000000"/>
        </w:rPr>
        <w:t>致：</w:t>
      </w:r>
      <w:r>
        <w:rPr>
          <w:rFonts w:hint="eastAsia" w:ascii="宋体" w:hAnsi="宋体" w:cs="宋体"/>
          <w:color w:val="auto"/>
          <w:kern w:val="0"/>
          <w:sz w:val="24"/>
          <w:highlight w:val="none"/>
          <w:u w:val="single" w:color="000000"/>
        </w:rPr>
        <w:t xml:space="preserve">          （采购人）     ：</w:t>
      </w:r>
    </w:p>
    <w:p w14:paraId="5D0ECC85">
      <w:pPr>
        <w:widowControl/>
        <w:spacing w:line="800" w:lineRule="exact"/>
        <w:ind w:firstLine="480" w:firstLineChars="200"/>
        <w:textAlignment w:val="baseline"/>
        <w:rPr>
          <w:rFonts w:hint="eastAsia" w:ascii="宋体" w:hAnsi="宋体" w:cs="宋体"/>
          <w:color w:val="auto"/>
          <w:kern w:val="0"/>
          <w:sz w:val="24"/>
          <w:highlight w:val="none"/>
          <w:u w:val="none" w:color="000000"/>
        </w:rPr>
      </w:pPr>
      <w:r>
        <w:rPr>
          <w:rFonts w:hint="eastAsia" w:ascii="宋体" w:hAnsi="宋体" w:cs="宋体"/>
          <w:color w:val="auto"/>
          <w:kern w:val="0"/>
          <w:sz w:val="24"/>
          <w:highlight w:val="none"/>
          <w:u w:val="none" w:color="000000"/>
        </w:rPr>
        <w:t>本承诺声明：</w:t>
      </w:r>
      <w:r>
        <w:rPr>
          <w:rFonts w:hint="eastAsia" w:ascii="宋体" w:hAnsi="宋体" w:cs="宋体"/>
          <w:color w:val="auto"/>
          <w:kern w:val="0"/>
          <w:sz w:val="24"/>
          <w:highlight w:val="none"/>
          <w:u w:val="single" w:color="000000"/>
        </w:rPr>
        <w:t xml:space="preserve">                           </w:t>
      </w:r>
      <w:r>
        <w:rPr>
          <w:rFonts w:hint="eastAsia" w:ascii="宋体" w:hAnsi="宋体" w:cs="宋体"/>
          <w:color w:val="auto"/>
          <w:kern w:val="0"/>
          <w:sz w:val="24"/>
          <w:highlight w:val="none"/>
          <w:u w:val="none" w:color="000000"/>
        </w:rPr>
        <w:t>（供应商名称）对本磋商文件的相关要求</w:t>
      </w:r>
      <w:r>
        <w:rPr>
          <w:rFonts w:hint="eastAsia" w:ascii="宋体" w:hAnsi="宋体" w:cs="宋体"/>
          <w:color w:val="auto"/>
          <w:kern w:val="0"/>
          <w:sz w:val="24"/>
          <w:highlight w:val="none"/>
          <w:u w:val="single"/>
        </w:rPr>
        <w:t xml:space="preserve">       （完全响应或优于）</w:t>
      </w:r>
      <w:r>
        <w:rPr>
          <w:rFonts w:hint="eastAsia" w:ascii="宋体" w:hAnsi="宋体" w:cs="宋体"/>
          <w:color w:val="auto"/>
          <w:kern w:val="0"/>
          <w:sz w:val="24"/>
          <w:highlight w:val="none"/>
          <w:u w:val="none" w:color="000000"/>
        </w:rPr>
        <w:t>。若有幸中标将严格按照承诺进行服务。</w:t>
      </w:r>
    </w:p>
    <w:p w14:paraId="77D0254A">
      <w:pPr>
        <w:widowControl/>
        <w:spacing w:line="480" w:lineRule="auto"/>
        <w:textAlignment w:val="baseline"/>
        <w:rPr>
          <w:rFonts w:hint="eastAsia" w:ascii="宋体" w:hAnsi="宋体" w:cs="宋体"/>
          <w:color w:val="auto"/>
          <w:kern w:val="0"/>
          <w:sz w:val="24"/>
          <w:highlight w:val="none"/>
          <w:u w:val="none" w:color="000000"/>
        </w:rPr>
      </w:pPr>
    </w:p>
    <w:p w14:paraId="003167EB">
      <w:pPr>
        <w:widowControl/>
        <w:spacing w:line="480" w:lineRule="auto"/>
        <w:textAlignment w:val="baseline"/>
        <w:rPr>
          <w:rFonts w:hint="eastAsia" w:ascii="宋体" w:hAnsi="宋体" w:cs="宋体"/>
          <w:color w:val="auto"/>
          <w:kern w:val="0"/>
          <w:sz w:val="24"/>
          <w:highlight w:val="none"/>
          <w:u w:val="none" w:color="000000"/>
        </w:rPr>
      </w:pPr>
    </w:p>
    <w:p w14:paraId="2BAEEAB6">
      <w:pPr>
        <w:widowControl/>
        <w:spacing w:line="440" w:lineRule="exact"/>
        <w:textAlignment w:val="baseline"/>
        <w:rPr>
          <w:rFonts w:hint="eastAsia" w:ascii="宋体" w:hAnsi="宋体" w:cs="宋体"/>
          <w:color w:val="auto"/>
          <w:kern w:val="0"/>
          <w:sz w:val="24"/>
          <w:highlight w:val="none"/>
          <w:u w:val="none" w:color="000000"/>
        </w:rPr>
      </w:pPr>
      <w:r>
        <w:rPr>
          <w:rFonts w:hint="eastAsia" w:ascii="宋体" w:hAnsi="宋体" w:cs="宋体"/>
          <w:color w:val="auto"/>
          <w:kern w:val="0"/>
          <w:sz w:val="24"/>
          <w:highlight w:val="none"/>
          <w:u w:val="none" w:color="000000"/>
        </w:rPr>
        <w:t>特此声明</w:t>
      </w:r>
    </w:p>
    <w:p w14:paraId="48A095D4">
      <w:pPr>
        <w:widowControl/>
        <w:spacing w:line="600" w:lineRule="exact"/>
        <w:textAlignment w:val="baseline"/>
        <w:rPr>
          <w:rFonts w:hint="eastAsia" w:ascii="宋体" w:hAnsi="宋体" w:cs="宋体"/>
          <w:color w:val="auto"/>
          <w:kern w:val="0"/>
          <w:sz w:val="24"/>
          <w:highlight w:val="none"/>
          <w:u w:val="none" w:color="000000"/>
        </w:rPr>
      </w:pPr>
      <w:r>
        <w:rPr>
          <w:rFonts w:hint="eastAsia" w:ascii="宋体" w:hAnsi="宋体" w:cs="宋体"/>
          <w:color w:val="auto"/>
          <w:kern w:val="0"/>
          <w:sz w:val="24"/>
          <w:highlight w:val="none"/>
          <w:u w:val="none" w:color="000000"/>
        </w:rPr>
        <w:t> </w:t>
      </w:r>
    </w:p>
    <w:p w14:paraId="5B503CA2">
      <w:pPr>
        <w:widowControl/>
        <w:spacing w:line="600" w:lineRule="exact"/>
        <w:textAlignment w:val="baseline"/>
        <w:rPr>
          <w:rFonts w:hint="eastAsia" w:ascii="宋体" w:hAnsi="宋体" w:cs="宋体"/>
          <w:color w:val="auto"/>
          <w:kern w:val="0"/>
          <w:sz w:val="24"/>
          <w:highlight w:val="none"/>
          <w:u w:val="none" w:color="000000"/>
        </w:rPr>
      </w:pPr>
    </w:p>
    <w:p w14:paraId="57D6E710">
      <w:pPr>
        <w:widowControl/>
        <w:spacing w:line="600" w:lineRule="exact"/>
        <w:textAlignment w:val="baseline"/>
        <w:rPr>
          <w:rFonts w:hint="eastAsia" w:ascii="宋体" w:hAnsi="宋体" w:cs="宋体"/>
          <w:color w:val="auto"/>
          <w:kern w:val="0"/>
          <w:sz w:val="24"/>
          <w:highlight w:val="none"/>
          <w:u w:val="none" w:color="000000"/>
        </w:rPr>
      </w:pPr>
    </w:p>
    <w:p w14:paraId="7DDCDAA6">
      <w:pPr>
        <w:widowControl/>
        <w:spacing w:line="600" w:lineRule="exact"/>
        <w:textAlignment w:val="baseline"/>
        <w:rPr>
          <w:rFonts w:hint="eastAsia" w:ascii="宋体" w:hAnsi="宋体" w:cs="宋体"/>
          <w:color w:val="auto"/>
          <w:kern w:val="0"/>
          <w:sz w:val="24"/>
          <w:highlight w:val="none"/>
          <w:u w:val="none" w:color="000000"/>
        </w:rPr>
      </w:pPr>
    </w:p>
    <w:p w14:paraId="35CF218B">
      <w:pPr>
        <w:widowControl/>
        <w:spacing w:line="600" w:lineRule="exact"/>
        <w:textAlignment w:val="baseline"/>
        <w:rPr>
          <w:rFonts w:hint="eastAsia" w:ascii="宋体" w:hAnsi="宋体" w:cs="宋体"/>
          <w:color w:val="auto"/>
          <w:kern w:val="0"/>
          <w:sz w:val="24"/>
          <w:highlight w:val="none"/>
          <w:u w:val="none" w:color="000000"/>
        </w:rPr>
      </w:pPr>
    </w:p>
    <w:p w14:paraId="00C8A71C">
      <w:pPr>
        <w:widowControl/>
        <w:spacing w:line="600" w:lineRule="exact"/>
        <w:textAlignment w:val="baseline"/>
        <w:rPr>
          <w:rFonts w:hint="eastAsia" w:ascii="宋体" w:hAnsi="宋体" w:cs="宋体"/>
          <w:color w:val="auto"/>
          <w:kern w:val="0"/>
          <w:sz w:val="24"/>
          <w:highlight w:val="none"/>
          <w:u w:val="none" w:color="000000"/>
        </w:rPr>
      </w:pPr>
    </w:p>
    <w:p w14:paraId="4FDA447B">
      <w:pPr>
        <w:widowControl/>
        <w:spacing w:line="300" w:lineRule="exact"/>
        <w:jc w:val="right"/>
        <w:textAlignment w:val="baseline"/>
        <w:rPr>
          <w:rFonts w:hint="eastAsia" w:ascii="宋体" w:hAnsi="宋体" w:cs="宋体"/>
          <w:color w:val="auto"/>
          <w:kern w:val="0"/>
          <w:sz w:val="24"/>
          <w:highlight w:val="none"/>
          <w:u w:val="none" w:color="000000"/>
        </w:rPr>
      </w:pPr>
      <w:r>
        <w:rPr>
          <w:rFonts w:hint="eastAsia" w:ascii="宋体" w:hAnsi="宋体" w:cs="宋体"/>
          <w:color w:val="auto"/>
          <w:kern w:val="0"/>
          <w:sz w:val="24"/>
          <w:highlight w:val="none"/>
          <w:u w:val="none" w:color="000000"/>
        </w:rPr>
        <w:t>法定代表人：</w:t>
      </w:r>
      <w:r>
        <w:rPr>
          <w:rFonts w:hint="eastAsia" w:ascii="宋体" w:hAnsi="宋体" w:cs="宋体"/>
          <w:color w:val="auto"/>
          <w:kern w:val="0"/>
          <w:sz w:val="24"/>
          <w:highlight w:val="none"/>
          <w:u w:val="single" w:color="000000"/>
        </w:rPr>
        <w:t xml:space="preserve">                （签字或盖章）          </w:t>
      </w:r>
    </w:p>
    <w:p w14:paraId="294F2683">
      <w:pPr>
        <w:widowControl/>
        <w:spacing w:line="300" w:lineRule="exact"/>
        <w:textAlignment w:val="baseline"/>
        <w:rPr>
          <w:rFonts w:hint="eastAsia" w:ascii="宋体" w:hAnsi="宋体" w:cs="宋体"/>
          <w:color w:val="auto"/>
          <w:kern w:val="0"/>
          <w:sz w:val="24"/>
          <w:highlight w:val="none"/>
          <w:u w:val="none" w:color="000000"/>
        </w:rPr>
      </w:pPr>
    </w:p>
    <w:p w14:paraId="61177756">
      <w:pPr>
        <w:widowControl/>
        <w:spacing w:line="300" w:lineRule="exact"/>
        <w:textAlignment w:val="baseline"/>
        <w:rPr>
          <w:rFonts w:hint="eastAsia" w:ascii="宋体" w:hAnsi="宋体" w:cs="宋体"/>
          <w:color w:val="auto"/>
          <w:kern w:val="0"/>
          <w:sz w:val="24"/>
          <w:highlight w:val="none"/>
          <w:u w:val="none" w:color="000000"/>
        </w:rPr>
      </w:pPr>
      <w:r>
        <w:rPr>
          <w:rFonts w:hint="eastAsia" w:ascii="宋体" w:hAnsi="宋体" w:cs="宋体"/>
          <w:color w:val="auto"/>
          <w:kern w:val="0"/>
          <w:sz w:val="24"/>
          <w:highlight w:val="none"/>
          <w:u w:val="none" w:color="000000"/>
        </w:rPr>
        <w:t xml:space="preserve">                                     </w:t>
      </w:r>
    </w:p>
    <w:p w14:paraId="013988A0">
      <w:pPr>
        <w:widowControl/>
        <w:spacing w:line="300" w:lineRule="exact"/>
        <w:textAlignment w:val="baseline"/>
        <w:rPr>
          <w:rFonts w:hint="eastAsia" w:ascii="宋体" w:hAnsi="宋体" w:cs="宋体"/>
          <w:color w:val="auto"/>
          <w:kern w:val="0"/>
          <w:sz w:val="24"/>
          <w:highlight w:val="none"/>
          <w:u w:val="none" w:color="000000"/>
        </w:rPr>
      </w:pPr>
      <w:r>
        <w:rPr>
          <w:rFonts w:hint="eastAsia" w:ascii="宋体" w:hAnsi="宋体" w:cs="宋体"/>
          <w:color w:val="auto"/>
          <w:kern w:val="0"/>
          <w:sz w:val="24"/>
          <w:highlight w:val="none"/>
          <w:u w:val="none" w:color="000000"/>
        </w:rPr>
        <w:t xml:space="preserve">                                    供应商名称：</w:t>
      </w:r>
      <w:r>
        <w:rPr>
          <w:rFonts w:hint="eastAsia" w:ascii="宋体" w:hAnsi="宋体" w:cs="宋体"/>
          <w:color w:val="auto"/>
          <w:kern w:val="0"/>
          <w:sz w:val="24"/>
          <w:highlight w:val="none"/>
          <w:u w:val="single" w:color="000000"/>
        </w:rPr>
        <w:t xml:space="preserve">        （盖章）           </w:t>
      </w:r>
    </w:p>
    <w:p w14:paraId="1D07F56D">
      <w:pPr>
        <w:widowControl/>
        <w:spacing w:line="300" w:lineRule="exact"/>
        <w:textAlignment w:val="baseline"/>
        <w:rPr>
          <w:rFonts w:hint="eastAsia" w:ascii="宋体" w:hAnsi="宋体" w:cs="宋体"/>
          <w:color w:val="auto"/>
          <w:kern w:val="0"/>
          <w:sz w:val="24"/>
          <w:highlight w:val="none"/>
          <w:u w:val="none" w:color="000000"/>
        </w:rPr>
      </w:pPr>
    </w:p>
    <w:p w14:paraId="0FDA7228">
      <w:pPr>
        <w:widowControl/>
        <w:spacing w:line="400" w:lineRule="exact"/>
        <w:ind w:firstLine="4680" w:firstLineChars="1950"/>
        <w:textAlignment w:val="baseline"/>
        <w:rPr>
          <w:rFonts w:hint="eastAsia" w:ascii="宋体" w:hAnsi="宋体" w:cs="宋体"/>
          <w:color w:val="auto"/>
          <w:kern w:val="0"/>
          <w:sz w:val="24"/>
          <w:highlight w:val="none"/>
          <w:u w:val="none" w:color="000000"/>
        </w:rPr>
      </w:pPr>
    </w:p>
    <w:p w14:paraId="01DE74BC">
      <w:pPr>
        <w:widowControl/>
        <w:spacing w:line="400" w:lineRule="exact"/>
        <w:ind w:firstLine="4320" w:firstLineChars="1800"/>
        <w:textAlignment w:val="baseline"/>
        <w:rPr>
          <w:rFonts w:hint="eastAsia" w:ascii="宋体" w:hAnsi="宋体" w:cs="宋体"/>
          <w:color w:val="auto"/>
          <w:kern w:val="0"/>
          <w:sz w:val="24"/>
          <w:highlight w:val="none"/>
          <w:u w:val="single" w:color="000000"/>
        </w:rPr>
      </w:pPr>
      <w:r>
        <w:rPr>
          <w:rFonts w:hint="eastAsia" w:ascii="宋体" w:hAnsi="宋体" w:cs="宋体"/>
          <w:color w:val="auto"/>
          <w:kern w:val="0"/>
          <w:sz w:val="24"/>
          <w:highlight w:val="none"/>
          <w:u w:val="none" w:color="000000"/>
        </w:rPr>
        <w:t>日    期：</w:t>
      </w:r>
      <w:r>
        <w:rPr>
          <w:rFonts w:hint="eastAsia" w:ascii="宋体" w:hAnsi="宋体" w:cs="宋体"/>
          <w:color w:val="auto"/>
          <w:kern w:val="0"/>
          <w:sz w:val="24"/>
          <w:highlight w:val="none"/>
          <w:u w:val="single" w:color="000000"/>
        </w:rPr>
        <w:t xml:space="preserve">                               </w:t>
      </w:r>
    </w:p>
    <w:p w14:paraId="09972BD7">
      <w:pPr>
        <w:widowControl/>
        <w:spacing w:line="400" w:lineRule="exact"/>
        <w:ind w:firstLine="4698" w:firstLineChars="1950"/>
        <w:textAlignment w:val="baseline"/>
        <w:rPr>
          <w:rFonts w:hint="eastAsia" w:ascii="宋体" w:hAnsi="宋体" w:cs="宋体"/>
          <w:b/>
          <w:color w:val="auto"/>
          <w:kern w:val="0"/>
          <w:sz w:val="24"/>
          <w:highlight w:val="none"/>
          <w:u w:val="none" w:color="000000"/>
        </w:rPr>
      </w:pPr>
    </w:p>
    <w:p w14:paraId="22EE0B28">
      <w:pPr>
        <w:widowControl/>
        <w:spacing w:line="357" w:lineRule="atLeast"/>
        <w:jc w:val="right"/>
        <w:textAlignment w:val="baseline"/>
        <w:rPr>
          <w:rFonts w:hint="eastAsia" w:ascii="宋体" w:hAnsi="宋体" w:cs="宋体"/>
          <w:color w:val="auto"/>
          <w:kern w:val="0"/>
          <w:sz w:val="24"/>
          <w:highlight w:val="none"/>
          <w:u w:val="none" w:color="000000"/>
          <w:bdr w:val="single" w:color="000000" w:sz="4" w:space="0"/>
        </w:rPr>
      </w:pPr>
    </w:p>
    <w:p w14:paraId="1BACE54F">
      <w:pPr>
        <w:widowControl/>
        <w:spacing w:line="357" w:lineRule="atLeast"/>
        <w:jc w:val="right"/>
        <w:textAlignment w:val="baseline"/>
        <w:rPr>
          <w:rFonts w:hint="eastAsia" w:ascii="宋体" w:hAnsi="宋体" w:cs="宋体"/>
          <w:color w:val="auto"/>
          <w:kern w:val="0"/>
          <w:sz w:val="28"/>
          <w:szCs w:val="28"/>
          <w:highlight w:val="none"/>
          <w:u w:val="none" w:color="000000"/>
          <w:bdr w:val="single" w:color="000000" w:sz="4" w:space="0"/>
        </w:rPr>
      </w:pPr>
    </w:p>
    <w:p w14:paraId="4F651653">
      <w:pPr>
        <w:pStyle w:val="2"/>
        <w:ind w:firstLine="0" w:firstLineChars="0"/>
        <w:rPr>
          <w:rFonts w:hint="eastAsia" w:cs="宋体"/>
          <w:color w:val="auto"/>
          <w:kern w:val="0"/>
          <w:sz w:val="28"/>
          <w:szCs w:val="28"/>
          <w:highlight w:val="none"/>
          <w:u w:val="none" w:color="000000"/>
          <w:bdr w:val="single" w:color="000000" w:sz="4" w:space="0"/>
        </w:rPr>
      </w:pPr>
    </w:p>
    <w:p w14:paraId="2C643876">
      <w:pPr>
        <w:rPr>
          <w:rFonts w:hint="eastAsia" w:ascii="宋体" w:hAnsi="宋体" w:cs="宋体"/>
          <w:color w:val="auto"/>
          <w:highlight w:val="none"/>
        </w:rPr>
      </w:pPr>
    </w:p>
    <w:p w14:paraId="4573E5D7">
      <w:pPr>
        <w:pStyle w:val="25"/>
        <w:ind w:left="0" w:firstLine="0"/>
        <w:rPr>
          <w:rFonts w:hint="eastAsia" w:ascii="宋体" w:hAnsi="宋体" w:eastAsia="宋体" w:cs="宋体"/>
          <w:color w:val="auto"/>
          <w:kern w:val="0"/>
          <w:szCs w:val="28"/>
          <w:highlight w:val="none"/>
          <w:u w:val="none" w:color="000000"/>
          <w:bdr w:val="single" w:color="000000" w:sz="4" w:space="0"/>
        </w:rPr>
      </w:pPr>
    </w:p>
    <w:p w14:paraId="1EFEC98E">
      <w:pPr>
        <w:pStyle w:val="25"/>
        <w:ind w:left="0" w:firstLine="0"/>
        <w:rPr>
          <w:rFonts w:hint="eastAsia" w:ascii="宋体" w:hAnsi="宋体" w:eastAsia="宋体" w:cs="宋体"/>
          <w:color w:val="auto"/>
          <w:kern w:val="0"/>
          <w:szCs w:val="28"/>
          <w:highlight w:val="none"/>
          <w:u w:val="none" w:color="000000"/>
          <w:bdr w:val="single" w:color="000000" w:sz="4" w:space="0"/>
        </w:rPr>
      </w:pPr>
    </w:p>
    <w:p w14:paraId="2A8D4F04">
      <w:pPr>
        <w:jc w:val="right"/>
        <w:rPr>
          <w:rFonts w:hint="eastAsia" w:ascii="宋体" w:hAnsi="宋体" w:cs="宋体"/>
          <w:color w:val="auto"/>
          <w:szCs w:val="20"/>
          <w:highlight w:val="none"/>
        </w:rPr>
      </w:pPr>
      <w:r>
        <w:rPr>
          <w:rFonts w:hint="eastAsia" w:ascii="宋体" w:hAnsi="宋体" w:cs="宋体"/>
          <w:color w:val="auto"/>
          <w:sz w:val="28"/>
          <w:szCs w:val="28"/>
          <w:highlight w:val="none"/>
          <w:bdr w:val="single" w:color="auto" w:sz="4" w:space="0"/>
        </w:rPr>
        <w:t>注明正本或副本</w:t>
      </w:r>
    </w:p>
    <w:p w14:paraId="2C122AF4">
      <w:pPr>
        <w:rPr>
          <w:rFonts w:hint="eastAsia" w:ascii="宋体" w:hAnsi="宋体" w:cs="宋体"/>
          <w:color w:val="auto"/>
          <w:szCs w:val="20"/>
          <w:highlight w:val="none"/>
        </w:rPr>
      </w:pPr>
    </w:p>
    <w:p w14:paraId="3E5B4139">
      <w:pPr>
        <w:keepNext/>
        <w:keepLines/>
        <w:spacing w:before="340" w:after="330" w:line="576" w:lineRule="auto"/>
        <w:jc w:val="center"/>
        <w:outlineLvl w:val="0"/>
        <w:rPr>
          <w:rFonts w:hint="eastAsia" w:ascii="宋体" w:hAnsi="宋体" w:cs="宋体"/>
          <w:b/>
          <w:color w:val="auto"/>
          <w:kern w:val="44"/>
          <w:sz w:val="44"/>
          <w:highlight w:val="none"/>
        </w:rPr>
      </w:pPr>
      <w:r>
        <w:rPr>
          <w:rFonts w:hint="eastAsia" w:ascii="宋体" w:hAnsi="宋体" w:cs="宋体"/>
          <w:b/>
          <w:color w:val="auto"/>
          <w:kern w:val="44"/>
          <w:sz w:val="44"/>
          <w:highlight w:val="none"/>
        </w:rPr>
        <w:t>商务标</w:t>
      </w:r>
      <w:bookmarkEnd w:id="173"/>
    </w:p>
    <w:p w14:paraId="2967AEDA">
      <w:pPr>
        <w:jc w:val="center"/>
        <w:rPr>
          <w:rFonts w:hint="eastAsia" w:ascii="宋体" w:hAnsi="宋体" w:cs="宋体"/>
          <w:color w:val="auto"/>
          <w:sz w:val="36"/>
          <w:szCs w:val="36"/>
          <w:highlight w:val="none"/>
        </w:rPr>
      </w:pPr>
      <w:r>
        <w:rPr>
          <w:rFonts w:hint="eastAsia" w:ascii="宋体" w:hAnsi="宋体" w:cs="宋体"/>
          <w:color w:val="auto"/>
          <w:sz w:val="44"/>
          <w:szCs w:val="44"/>
          <w:highlight w:val="none"/>
        </w:rPr>
        <w:t>（</w:t>
      </w:r>
      <w:r>
        <w:rPr>
          <w:rFonts w:hint="eastAsia" w:ascii="宋体" w:hAnsi="宋体" w:cs="宋体"/>
          <w:color w:val="auto"/>
          <w:sz w:val="36"/>
          <w:szCs w:val="36"/>
          <w:highlight w:val="none"/>
        </w:rPr>
        <w:t>响应文件三）</w:t>
      </w:r>
    </w:p>
    <w:p w14:paraId="32082771">
      <w:pPr>
        <w:jc w:val="center"/>
        <w:rPr>
          <w:rFonts w:hint="eastAsia" w:ascii="宋体" w:hAnsi="宋体" w:cs="宋体"/>
          <w:color w:val="auto"/>
          <w:sz w:val="36"/>
          <w:szCs w:val="36"/>
          <w:highlight w:val="none"/>
        </w:rPr>
      </w:pPr>
    </w:p>
    <w:p w14:paraId="0762F633">
      <w:pPr>
        <w:jc w:val="center"/>
        <w:rPr>
          <w:rFonts w:hint="eastAsia" w:ascii="宋体" w:hAnsi="宋体" w:cs="宋体"/>
          <w:color w:val="auto"/>
          <w:sz w:val="32"/>
          <w:szCs w:val="32"/>
          <w:highlight w:val="none"/>
        </w:rPr>
      </w:pPr>
      <w:r>
        <w:rPr>
          <w:rFonts w:hint="eastAsia" w:ascii="宋体" w:hAnsi="宋体" w:cs="宋体"/>
          <w:color w:val="auto"/>
          <w:sz w:val="32"/>
          <w:szCs w:val="32"/>
          <w:highlight w:val="none"/>
          <w:u w:val="single"/>
        </w:rPr>
        <w:t xml:space="preserve">                   </w:t>
      </w:r>
      <w:r>
        <w:rPr>
          <w:rFonts w:hint="eastAsia" w:ascii="宋体" w:hAnsi="宋体" w:cs="宋体"/>
          <w:color w:val="auto"/>
          <w:sz w:val="32"/>
          <w:szCs w:val="32"/>
          <w:highlight w:val="none"/>
        </w:rPr>
        <w:t>项目名称</w:t>
      </w:r>
    </w:p>
    <w:p w14:paraId="7E9CC0D4">
      <w:pPr>
        <w:ind w:firstLine="2800" w:firstLineChars="1000"/>
        <w:rPr>
          <w:rFonts w:hint="eastAsia" w:ascii="宋体" w:hAnsi="宋体" w:cs="宋体"/>
          <w:color w:val="auto"/>
          <w:sz w:val="28"/>
          <w:szCs w:val="28"/>
          <w:highlight w:val="none"/>
        </w:rPr>
      </w:pPr>
    </w:p>
    <w:p w14:paraId="27CEBC62">
      <w:pPr>
        <w:ind w:firstLine="2800" w:firstLineChars="1000"/>
        <w:rPr>
          <w:rFonts w:hint="eastAsia" w:ascii="宋体" w:hAnsi="宋体" w:cs="宋体"/>
          <w:color w:val="auto"/>
          <w:sz w:val="44"/>
          <w:szCs w:val="44"/>
          <w:highlight w:val="none"/>
        </w:rPr>
      </w:pPr>
      <w:r>
        <w:rPr>
          <w:rFonts w:hint="eastAsia" w:ascii="宋体" w:hAnsi="宋体" w:cs="宋体"/>
          <w:color w:val="auto"/>
          <w:sz w:val="28"/>
          <w:szCs w:val="28"/>
          <w:highlight w:val="none"/>
        </w:rPr>
        <w:t>项目编号</w:t>
      </w:r>
      <w:r>
        <w:rPr>
          <w:rFonts w:hint="eastAsia" w:ascii="宋体" w:hAnsi="宋体" w:cs="宋体"/>
          <w:color w:val="auto"/>
          <w:sz w:val="28"/>
          <w:szCs w:val="28"/>
          <w:highlight w:val="none"/>
          <w:u w:val="single"/>
        </w:rPr>
        <w:t xml:space="preserve">            </w:t>
      </w:r>
    </w:p>
    <w:p w14:paraId="40507692">
      <w:pPr>
        <w:rPr>
          <w:rFonts w:hint="eastAsia" w:ascii="宋体" w:hAnsi="宋体" w:cs="宋体"/>
          <w:color w:val="auto"/>
          <w:sz w:val="28"/>
          <w:szCs w:val="28"/>
          <w:highlight w:val="none"/>
        </w:rPr>
      </w:pPr>
    </w:p>
    <w:p w14:paraId="3BD8DFF0">
      <w:pPr>
        <w:rPr>
          <w:rFonts w:hint="eastAsia" w:ascii="宋体" w:hAnsi="宋体" w:cs="宋体"/>
          <w:color w:val="auto"/>
          <w:sz w:val="28"/>
          <w:szCs w:val="28"/>
          <w:highlight w:val="none"/>
        </w:rPr>
      </w:pPr>
    </w:p>
    <w:p w14:paraId="7798AC1D">
      <w:pPr>
        <w:rPr>
          <w:rFonts w:hint="eastAsia" w:ascii="宋体" w:hAnsi="宋体" w:cs="宋体"/>
          <w:color w:val="auto"/>
          <w:sz w:val="28"/>
          <w:szCs w:val="28"/>
          <w:highlight w:val="none"/>
        </w:rPr>
      </w:pPr>
    </w:p>
    <w:p w14:paraId="32382FD0">
      <w:pPr>
        <w:rPr>
          <w:rFonts w:hint="eastAsia" w:ascii="宋体" w:hAnsi="宋体" w:cs="宋体"/>
          <w:color w:val="auto"/>
          <w:sz w:val="28"/>
          <w:szCs w:val="28"/>
          <w:highlight w:val="none"/>
        </w:rPr>
      </w:pPr>
    </w:p>
    <w:p w14:paraId="5EFCC202">
      <w:pPr>
        <w:rPr>
          <w:rFonts w:hint="eastAsia" w:ascii="宋体" w:hAnsi="宋体" w:cs="宋体"/>
          <w:color w:val="auto"/>
          <w:sz w:val="28"/>
          <w:szCs w:val="28"/>
          <w:highlight w:val="none"/>
        </w:rPr>
      </w:pPr>
    </w:p>
    <w:p w14:paraId="36F90A78">
      <w:pPr>
        <w:rPr>
          <w:rFonts w:hint="eastAsia" w:ascii="宋体" w:hAnsi="宋体" w:cs="宋体"/>
          <w:color w:val="auto"/>
          <w:sz w:val="28"/>
          <w:szCs w:val="28"/>
          <w:highlight w:val="none"/>
        </w:rPr>
      </w:pPr>
    </w:p>
    <w:p w14:paraId="53EDC32E">
      <w:pPr>
        <w:rPr>
          <w:rFonts w:hint="eastAsia" w:ascii="宋体" w:hAnsi="宋体" w:cs="宋体"/>
          <w:color w:val="auto"/>
          <w:sz w:val="28"/>
          <w:szCs w:val="28"/>
          <w:highlight w:val="none"/>
        </w:rPr>
      </w:pPr>
    </w:p>
    <w:p w14:paraId="0613E4F3">
      <w:pPr>
        <w:rPr>
          <w:rFonts w:hint="eastAsia" w:ascii="宋体" w:hAnsi="宋体" w:cs="宋体"/>
          <w:color w:val="auto"/>
          <w:sz w:val="28"/>
          <w:szCs w:val="28"/>
          <w:highlight w:val="none"/>
        </w:rPr>
      </w:pPr>
    </w:p>
    <w:p w14:paraId="2AD29CEA">
      <w:pPr>
        <w:pStyle w:val="2"/>
        <w:rPr>
          <w:rFonts w:hint="eastAsia"/>
          <w:color w:val="auto"/>
          <w:highlight w:val="none"/>
        </w:rPr>
      </w:pPr>
    </w:p>
    <w:p w14:paraId="51CABA70">
      <w:pPr>
        <w:jc w:val="center"/>
        <w:rPr>
          <w:rFonts w:hint="eastAsia" w:ascii="宋体" w:hAnsi="宋体" w:cs="宋体"/>
          <w:color w:val="auto"/>
          <w:sz w:val="28"/>
          <w:szCs w:val="28"/>
          <w:highlight w:val="none"/>
          <w:u w:val="single"/>
        </w:rPr>
      </w:pPr>
      <w:r>
        <w:rPr>
          <w:rFonts w:hint="eastAsia" w:ascii="宋体" w:hAnsi="宋体" w:cs="宋体"/>
          <w:color w:val="auto"/>
          <w:sz w:val="28"/>
          <w:szCs w:val="28"/>
          <w:highlight w:val="none"/>
        </w:rPr>
        <w:t>供应商：</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（盖单位章）</w:t>
      </w:r>
    </w:p>
    <w:p w14:paraId="4E39364F">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法定代表人：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（签字或盖章）</w:t>
      </w:r>
    </w:p>
    <w:p w14:paraId="3AE7C576">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p>
    <w:p w14:paraId="090DC10D">
      <w:pPr>
        <w:spacing w:line="400" w:lineRule="exact"/>
        <w:jc w:val="center"/>
        <w:rPr>
          <w:rFonts w:hint="eastAsia" w:ascii="宋体" w:hAnsi="宋体" w:cs="宋体"/>
          <w:b/>
          <w:color w:val="auto"/>
          <w:sz w:val="36"/>
          <w:szCs w:val="36"/>
          <w:highlight w:val="none"/>
        </w:rPr>
      </w:pPr>
    </w:p>
    <w:p w14:paraId="63291D79">
      <w:pPr>
        <w:spacing w:line="400" w:lineRule="exact"/>
        <w:jc w:val="center"/>
        <w:rPr>
          <w:rFonts w:hint="eastAsia" w:ascii="宋体" w:hAnsi="宋体" w:cs="宋体"/>
          <w:b/>
          <w:color w:val="auto"/>
          <w:sz w:val="36"/>
          <w:szCs w:val="36"/>
          <w:highlight w:val="none"/>
        </w:rPr>
      </w:pPr>
    </w:p>
    <w:p w14:paraId="6814A543">
      <w:pPr>
        <w:spacing w:line="400" w:lineRule="exact"/>
        <w:jc w:val="center"/>
        <w:rPr>
          <w:rFonts w:hint="eastAsia" w:ascii="宋体" w:hAnsi="宋体" w:cs="宋体"/>
          <w:b/>
          <w:color w:val="auto"/>
          <w:sz w:val="36"/>
          <w:szCs w:val="36"/>
          <w:highlight w:val="none"/>
        </w:rPr>
      </w:pPr>
    </w:p>
    <w:p w14:paraId="70997214">
      <w:pPr>
        <w:spacing w:line="400" w:lineRule="exact"/>
        <w:jc w:val="center"/>
        <w:rPr>
          <w:rFonts w:hint="eastAsia" w:ascii="宋体" w:hAnsi="宋体" w:cs="宋体"/>
          <w:b/>
          <w:color w:val="auto"/>
          <w:sz w:val="36"/>
          <w:szCs w:val="36"/>
          <w:highlight w:val="none"/>
        </w:rPr>
      </w:pPr>
    </w:p>
    <w:p w14:paraId="0ED3F133">
      <w:pPr>
        <w:spacing w:line="400" w:lineRule="exact"/>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目  录</w:t>
      </w:r>
    </w:p>
    <w:p w14:paraId="618F30A9">
      <w:pPr>
        <w:spacing w:line="400" w:lineRule="exact"/>
        <w:ind w:firstLine="597" w:firstLineChars="249"/>
        <w:rPr>
          <w:rFonts w:hint="eastAsia" w:ascii="宋体" w:hAnsi="宋体" w:cs="宋体"/>
          <w:color w:val="auto"/>
          <w:sz w:val="24"/>
          <w:szCs w:val="20"/>
          <w:highlight w:val="none"/>
        </w:rPr>
      </w:pPr>
    </w:p>
    <w:p w14:paraId="1C6B70CD">
      <w:pPr>
        <w:spacing w:line="440" w:lineRule="exact"/>
        <w:ind w:firstLine="411" w:firstLineChars="196"/>
        <w:rPr>
          <w:rFonts w:hint="eastAsia" w:ascii="宋体" w:hAnsi="宋体" w:cs="宋体"/>
          <w:color w:val="auto"/>
          <w:kern w:val="0"/>
          <w:szCs w:val="21"/>
          <w:highlight w:val="none"/>
          <w:u w:val="none" w:color="000000"/>
        </w:rPr>
      </w:pPr>
      <w:r>
        <w:rPr>
          <w:rFonts w:hint="eastAsia" w:ascii="宋体" w:hAnsi="宋体" w:cs="宋体"/>
          <w:color w:val="auto"/>
          <w:kern w:val="0"/>
          <w:szCs w:val="21"/>
          <w:highlight w:val="none"/>
          <w:u w:val="none" w:color="000000"/>
        </w:rPr>
        <w:t>（1）开标一览表（格式见附件）；</w:t>
      </w:r>
    </w:p>
    <w:p w14:paraId="43A794E6">
      <w:pPr>
        <w:spacing w:line="440" w:lineRule="exact"/>
        <w:ind w:firstLine="411" w:firstLineChars="196"/>
        <w:rPr>
          <w:rFonts w:hint="eastAsia" w:ascii="宋体" w:hAnsi="宋体" w:cs="宋体"/>
          <w:color w:val="auto"/>
          <w:kern w:val="0"/>
          <w:szCs w:val="21"/>
          <w:highlight w:val="none"/>
          <w:u w:val="none" w:color="000000"/>
        </w:rPr>
      </w:pPr>
      <w:r>
        <w:rPr>
          <w:rFonts w:hint="eastAsia" w:ascii="宋体" w:hAnsi="宋体" w:cs="宋体"/>
          <w:color w:val="auto"/>
          <w:kern w:val="0"/>
          <w:szCs w:val="21"/>
          <w:highlight w:val="none"/>
          <w:u w:val="none" w:color="000000"/>
        </w:rPr>
        <w:t>（2）磋商响应函（格式见附件）；</w:t>
      </w:r>
    </w:p>
    <w:p w14:paraId="44639D95">
      <w:pPr>
        <w:spacing w:line="440" w:lineRule="exact"/>
        <w:ind w:firstLine="420" w:firstLineChars="200"/>
        <w:rPr>
          <w:rFonts w:hint="eastAsia" w:ascii="宋体" w:hAnsi="宋体" w:eastAsia="宋体" w:cs="宋体"/>
          <w:color w:val="auto"/>
          <w:kern w:val="0"/>
          <w:szCs w:val="21"/>
          <w:highlight w:val="none"/>
          <w:u w:val="none" w:color="000000"/>
          <w:lang w:eastAsia="zh-CN"/>
        </w:rPr>
      </w:pPr>
      <w:r>
        <w:rPr>
          <w:rFonts w:hint="eastAsia" w:ascii="宋体" w:hAnsi="宋体" w:cs="宋体"/>
          <w:color w:val="auto"/>
          <w:kern w:val="0"/>
          <w:szCs w:val="21"/>
          <w:highlight w:val="none"/>
          <w:u w:val="none" w:color="000000"/>
          <w:lang w:eastAsia="zh-CN"/>
        </w:rPr>
        <w:t>（</w:t>
      </w:r>
      <w:r>
        <w:rPr>
          <w:rFonts w:hint="eastAsia" w:ascii="宋体" w:hAnsi="宋体" w:cs="宋体"/>
          <w:color w:val="auto"/>
          <w:kern w:val="0"/>
          <w:szCs w:val="21"/>
          <w:highlight w:val="none"/>
          <w:u w:val="none" w:color="000000"/>
          <w:lang w:val="en-US" w:eastAsia="zh-CN"/>
        </w:rPr>
        <w:t>3</w:t>
      </w:r>
      <w:r>
        <w:rPr>
          <w:rFonts w:hint="eastAsia" w:ascii="宋体" w:hAnsi="宋体" w:cs="宋体"/>
          <w:color w:val="auto"/>
          <w:kern w:val="0"/>
          <w:szCs w:val="21"/>
          <w:highlight w:val="none"/>
          <w:u w:val="none" w:color="000000"/>
          <w:lang w:eastAsia="zh-CN"/>
        </w:rPr>
        <w:t>）分项报价</w:t>
      </w:r>
      <w:r>
        <w:rPr>
          <w:rFonts w:hint="eastAsia" w:ascii="宋体" w:hAnsi="宋体" w:cs="宋体"/>
          <w:color w:val="auto"/>
          <w:kern w:val="0"/>
          <w:szCs w:val="21"/>
          <w:highlight w:val="none"/>
          <w:u w:val="none" w:color="000000"/>
          <w:lang w:val="en-US" w:eastAsia="zh-CN"/>
        </w:rPr>
        <w:t>清单</w:t>
      </w:r>
      <w:r>
        <w:rPr>
          <w:rFonts w:hint="eastAsia" w:ascii="宋体" w:hAnsi="宋体" w:cs="宋体"/>
          <w:color w:val="auto"/>
          <w:kern w:val="0"/>
          <w:szCs w:val="21"/>
          <w:highlight w:val="none"/>
          <w:u w:val="none" w:color="000000"/>
        </w:rPr>
        <w:t>（格式见附件）；</w:t>
      </w:r>
    </w:p>
    <w:p w14:paraId="73F84D74">
      <w:pPr>
        <w:spacing w:line="440" w:lineRule="exact"/>
        <w:ind w:firstLine="411" w:firstLineChars="196"/>
        <w:rPr>
          <w:rFonts w:hint="eastAsia" w:ascii="宋体" w:hAnsi="宋体" w:cs="宋体"/>
          <w:color w:val="auto"/>
          <w:kern w:val="0"/>
          <w:szCs w:val="21"/>
          <w:highlight w:val="none"/>
          <w:u w:val="none" w:color="000000"/>
        </w:rPr>
      </w:pPr>
      <w:r>
        <w:rPr>
          <w:rFonts w:hint="eastAsia" w:ascii="宋体" w:hAnsi="宋体" w:cs="宋体"/>
          <w:color w:val="auto"/>
          <w:kern w:val="0"/>
          <w:szCs w:val="21"/>
          <w:highlight w:val="none"/>
          <w:u w:val="none" w:color="000000"/>
        </w:rPr>
        <w:t>（</w:t>
      </w:r>
      <w:r>
        <w:rPr>
          <w:rFonts w:hint="eastAsia" w:ascii="宋体" w:hAnsi="宋体" w:cs="宋体"/>
          <w:color w:val="auto"/>
          <w:kern w:val="0"/>
          <w:szCs w:val="21"/>
          <w:highlight w:val="none"/>
          <w:u w:val="none" w:color="000000"/>
          <w:lang w:val="en-US" w:eastAsia="zh-CN"/>
        </w:rPr>
        <w:t>4</w:t>
      </w:r>
      <w:r>
        <w:rPr>
          <w:rFonts w:hint="eastAsia" w:ascii="宋体" w:hAnsi="宋体" w:cs="宋体"/>
          <w:color w:val="auto"/>
          <w:kern w:val="0"/>
          <w:szCs w:val="21"/>
          <w:highlight w:val="none"/>
          <w:u w:val="none" w:color="000000"/>
        </w:rPr>
        <w:t>）供应商针对本项目认为需要提供的其他证明材料。</w:t>
      </w:r>
    </w:p>
    <w:p w14:paraId="1A16FA64">
      <w:pPr>
        <w:spacing w:line="440" w:lineRule="exact"/>
        <w:ind w:right="-1" w:firstLine="422" w:firstLineChars="200"/>
        <w:rPr>
          <w:rFonts w:hint="eastAsia" w:ascii="宋体" w:hAnsi="宋体" w:cs="宋体"/>
          <w:color w:val="auto"/>
          <w:kern w:val="0"/>
          <w:szCs w:val="21"/>
          <w:highlight w:val="none"/>
        </w:rPr>
      </w:pPr>
      <w:r>
        <w:rPr>
          <w:rFonts w:hint="eastAsia" w:ascii="宋体" w:hAnsi="宋体" w:cs="宋体"/>
          <w:b/>
          <w:bCs/>
          <w:color w:val="auto"/>
          <w:kern w:val="0"/>
          <w:szCs w:val="21"/>
          <w:highlight w:val="none"/>
        </w:rPr>
        <w:t>以上材料须按顺序装订，均须加盖供应商公章。供应商所提交的商务文件的完整与否，直接影响供应商的评审。</w:t>
      </w:r>
    </w:p>
    <w:p w14:paraId="32E26619">
      <w:pPr>
        <w:widowControl/>
        <w:spacing w:line="357" w:lineRule="atLeast"/>
        <w:textAlignment w:val="baseline"/>
        <w:rPr>
          <w:rFonts w:hint="eastAsia" w:ascii="宋体" w:hAnsi="宋体" w:cs="宋体"/>
          <w:b/>
          <w:bCs/>
          <w:color w:val="auto"/>
          <w:kern w:val="0"/>
          <w:sz w:val="30"/>
          <w:szCs w:val="30"/>
          <w:highlight w:val="none"/>
          <w:u w:val="none" w:color="000000"/>
        </w:rPr>
      </w:pPr>
    </w:p>
    <w:p w14:paraId="5BF40565">
      <w:pPr>
        <w:widowControl/>
        <w:spacing w:line="357" w:lineRule="atLeast"/>
        <w:jc w:val="center"/>
        <w:textAlignment w:val="baseline"/>
        <w:rPr>
          <w:rFonts w:hint="eastAsia" w:ascii="宋体" w:hAnsi="宋体" w:cs="宋体"/>
          <w:b/>
          <w:bCs/>
          <w:color w:val="auto"/>
          <w:kern w:val="0"/>
          <w:sz w:val="30"/>
          <w:szCs w:val="30"/>
          <w:highlight w:val="none"/>
          <w:u w:val="none" w:color="000000"/>
        </w:rPr>
      </w:pPr>
    </w:p>
    <w:p w14:paraId="2E768D37">
      <w:pPr>
        <w:widowControl/>
        <w:spacing w:line="357" w:lineRule="atLeast"/>
        <w:jc w:val="center"/>
        <w:textAlignment w:val="baseline"/>
        <w:rPr>
          <w:rFonts w:hint="eastAsia" w:ascii="宋体" w:hAnsi="宋体" w:cs="宋体"/>
          <w:b/>
          <w:color w:val="auto"/>
          <w:kern w:val="0"/>
          <w:sz w:val="28"/>
          <w:szCs w:val="28"/>
          <w:highlight w:val="none"/>
          <w:u w:val="none" w:color="000000"/>
        </w:rPr>
      </w:pPr>
    </w:p>
    <w:p w14:paraId="42949EF1">
      <w:pPr>
        <w:snapToGrid w:val="0"/>
        <w:spacing w:line="460" w:lineRule="exact"/>
        <w:ind w:left="2940" w:leftChars="1400" w:firstLine="964" w:firstLineChars="300"/>
        <w:textAlignment w:val="baseline"/>
        <w:rPr>
          <w:rFonts w:hint="eastAsia" w:ascii="宋体" w:hAnsi="宋体" w:cs="宋体"/>
          <w:b/>
          <w:color w:val="auto"/>
          <w:kern w:val="0"/>
          <w:sz w:val="32"/>
          <w:szCs w:val="32"/>
          <w:highlight w:val="none"/>
          <w:u w:val="none" w:color="000000"/>
        </w:rPr>
      </w:pPr>
    </w:p>
    <w:p w14:paraId="4534DE1A">
      <w:pPr>
        <w:snapToGrid w:val="0"/>
        <w:spacing w:line="460" w:lineRule="exact"/>
        <w:ind w:left="2940" w:leftChars="1400" w:firstLine="964" w:firstLineChars="300"/>
        <w:textAlignment w:val="baseline"/>
        <w:rPr>
          <w:rFonts w:hint="eastAsia" w:ascii="宋体" w:hAnsi="宋体" w:cs="宋体"/>
          <w:b/>
          <w:color w:val="auto"/>
          <w:kern w:val="0"/>
          <w:sz w:val="32"/>
          <w:szCs w:val="32"/>
          <w:highlight w:val="none"/>
          <w:u w:val="none" w:color="000000"/>
        </w:rPr>
      </w:pPr>
    </w:p>
    <w:p w14:paraId="20FB1309">
      <w:pPr>
        <w:snapToGrid w:val="0"/>
        <w:spacing w:line="460" w:lineRule="exact"/>
        <w:ind w:left="2940" w:leftChars="1400" w:firstLine="964" w:firstLineChars="300"/>
        <w:textAlignment w:val="baseline"/>
        <w:rPr>
          <w:rFonts w:hint="eastAsia" w:ascii="宋体" w:hAnsi="宋体" w:cs="宋体"/>
          <w:b/>
          <w:color w:val="auto"/>
          <w:kern w:val="0"/>
          <w:sz w:val="32"/>
          <w:szCs w:val="32"/>
          <w:highlight w:val="none"/>
          <w:u w:val="none" w:color="000000"/>
        </w:rPr>
      </w:pPr>
    </w:p>
    <w:p w14:paraId="1B7B8A84">
      <w:pPr>
        <w:snapToGrid w:val="0"/>
        <w:spacing w:line="460" w:lineRule="exact"/>
        <w:ind w:left="2940" w:leftChars="1400" w:firstLine="964" w:firstLineChars="300"/>
        <w:textAlignment w:val="baseline"/>
        <w:rPr>
          <w:rFonts w:hint="eastAsia" w:ascii="宋体" w:hAnsi="宋体" w:cs="宋体"/>
          <w:b/>
          <w:color w:val="auto"/>
          <w:kern w:val="0"/>
          <w:sz w:val="32"/>
          <w:szCs w:val="32"/>
          <w:highlight w:val="none"/>
          <w:u w:val="none" w:color="000000"/>
        </w:rPr>
      </w:pPr>
    </w:p>
    <w:p w14:paraId="35240604">
      <w:pPr>
        <w:snapToGrid w:val="0"/>
        <w:spacing w:line="460" w:lineRule="exact"/>
        <w:ind w:left="2940" w:leftChars="1400" w:firstLine="964" w:firstLineChars="300"/>
        <w:textAlignment w:val="baseline"/>
        <w:rPr>
          <w:rFonts w:hint="eastAsia" w:ascii="宋体" w:hAnsi="宋体" w:cs="宋体"/>
          <w:b/>
          <w:color w:val="auto"/>
          <w:kern w:val="0"/>
          <w:sz w:val="32"/>
          <w:szCs w:val="32"/>
          <w:highlight w:val="none"/>
          <w:u w:val="none" w:color="000000"/>
        </w:rPr>
      </w:pPr>
    </w:p>
    <w:p w14:paraId="53226B01">
      <w:pPr>
        <w:snapToGrid w:val="0"/>
        <w:spacing w:line="460" w:lineRule="exact"/>
        <w:ind w:left="2940" w:leftChars="1400" w:firstLine="964" w:firstLineChars="300"/>
        <w:textAlignment w:val="baseline"/>
        <w:rPr>
          <w:rFonts w:hint="eastAsia" w:ascii="宋体" w:hAnsi="宋体" w:cs="宋体"/>
          <w:b/>
          <w:color w:val="auto"/>
          <w:kern w:val="0"/>
          <w:sz w:val="32"/>
          <w:szCs w:val="32"/>
          <w:highlight w:val="none"/>
          <w:u w:val="none" w:color="000000"/>
        </w:rPr>
      </w:pPr>
    </w:p>
    <w:p w14:paraId="24942E9C">
      <w:pPr>
        <w:snapToGrid w:val="0"/>
        <w:spacing w:line="460" w:lineRule="exact"/>
        <w:ind w:left="2940" w:leftChars="1400" w:firstLine="964" w:firstLineChars="300"/>
        <w:textAlignment w:val="baseline"/>
        <w:rPr>
          <w:rFonts w:hint="eastAsia" w:ascii="宋体" w:hAnsi="宋体" w:cs="宋体"/>
          <w:b/>
          <w:color w:val="auto"/>
          <w:kern w:val="0"/>
          <w:sz w:val="32"/>
          <w:szCs w:val="32"/>
          <w:highlight w:val="none"/>
          <w:u w:val="none" w:color="000000"/>
        </w:rPr>
      </w:pPr>
    </w:p>
    <w:p w14:paraId="0AA17A21">
      <w:pPr>
        <w:snapToGrid w:val="0"/>
        <w:spacing w:line="460" w:lineRule="exact"/>
        <w:ind w:left="2940" w:leftChars="1400" w:firstLine="964" w:firstLineChars="300"/>
        <w:textAlignment w:val="baseline"/>
        <w:rPr>
          <w:rFonts w:hint="eastAsia" w:ascii="宋体" w:hAnsi="宋体" w:cs="宋体"/>
          <w:b/>
          <w:color w:val="auto"/>
          <w:kern w:val="0"/>
          <w:sz w:val="32"/>
          <w:szCs w:val="32"/>
          <w:highlight w:val="none"/>
          <w:u w:val="none" w:color="000000"/>
        </w:rPr>
      </w:pPr>
    </w:p>
    <w:p w14:paraId="4DF4499B">
      <w:pPr>
        <w:snapToGrid w:val="0"/>
        <w:spacing w:line="460" w:lineRule="exact"/>
        <w:ind w:left="2940" w:leftChars="1400" w:firstLine="964" w:firstLineChars="300"/>
        <w:textAlignment w:val="baseline"/>
        <w:rPr>
          <w:rFonts w:hint="eastAsia" w:ascii="宋体" w:hAnsi="宋体" w:cs="宋体"/>
          <w:b/>
          <w:color w:val="auto"/>
          <w:kern w:val="0"/>
          <w:sz w:val="32"/>
          <w:szCs w:val="32"/>
          <w:highlight w:val="none"/>
          <w:u w:val="none" w:color="000000"/>
        </w:rPr>
      </w:pPr>
    </w:p>
    <w:p w14:paraId="08868B8D">
      <w:pPr>
        <w:snapToGrid w:val="0"/>
        <w:spacing w:line="460" w:lineRule="exact"/>
        <w:ind w:left="2940" w:leftChars="1400" w:firstLine="964" w:firstLineChars="300"/>
        <w:textAlignment w:val="baseline"/>
        <w:rPr>
          <w:rFonts w:hint="eastAsia" w:ascii="宋体" w:hAnsi="宋体" w:cs="宋体"/>
          <w:b/>
          <w:color w:val="auto"/>
          <w:kern w:val="0"/>
          <w:sz w:val="32"/>
          <w:szCs w:val="32"/>
          <w:highlight w:val="none"/>
          <w:u w:val="none" w:color="000000"/>
        </w:rPr>
      </w:pPr>
    </w:p>
    <w:p w14:paraId="46BC5FDE">
      <w:pPr>
        <w:snapToGrid w:val="0"/>
        <w:spacing w:line="460" w:lineRule="exact"/>
        <w:ind w:left="2940" w:leftChars="1400" w:firstLine="964" w:firstLineChars="300"/>
        <w:textAlignment w:val="baseline"/>
        <w:rPr>
          <w:rFonts w:hint="eastAsia" w:ascii="宋体" w:hAnsi="宋体" w:cs="宋体"/>
          <w:b/>
          <w:color w:val="auto"/>
          <w:kern w:val="0"/>
          <w:sz w:val="32"/>
          <w:szCs w:val="32"/>
          <w:highlight w:val="none"/>
          <w:u w:val="none" w:color="000000"/>
        </w:rPr>
      </w:pPr>
    </w:p>
    <w:p w14:paraId="3F98D0D7">
      <w:pPr>
        <w:widowControl/>
        <w:spacing w:line="360" w:lineRule="exact"/>
        <w:ind w:firstLine="531" w:firstLineChars="147"/>
        <w:jc w:val="center"/>
        <w:textAlignment w:val="baseline"/>
        <w:rPr>
          <w:rFonts w:hint="eastAsia" w:ascii="宋体" w:hAnsi="宋体" w:cs="宋体"/>
          <w:b/>
          <w:color w:val="auto"/>
          <w:kern w:val="0"/>
          <w:sz w:val="36"/>
          <w:szCs w:val="36"/>
          <w:highlight w:val="none"/>
          <w:u w:val="none" w:color="000000"/>
        </w:rPr>
      </w:pPr>
    </w:p>
    <w:p w14:paraId="11A11178">
      <w:pPr>
        <w:keepNext w:val="0"/>
        <w:keepLines w:val="0"/>
        <w:pageBreakBefore w:val="0"/>
        <w:widowControl/>
        <w:kinsoku/>
        <w:wordWrap/>
        <w:overflowPunct/>
        <w:topLinePunct w:val="0"/>
        <w:autoSpaceDE/>
        <w:autoSpaceDN/>
        <w:bidi w:val="0"/>
        <w:adjustRightInd/>
        <w:snapToGrid/>
        <w:spacing w:line="440" w:lineRule="exact"/>
        <w:jc w:val="center"/>
        <w:textAlignment w:val="baseline"/>
        <w:rPr>
          <w:rFonts w:hint="eastAsia" w:ascii="宋体" w:hAnsi="宋体" w:cs="宋体"/>
          <w:b/>
          <w:color w:val="auto"/>
          <w:kern w:val="0"/>
          <w:sz w:val="32"/>
          <w:szCs w:val="32"/>
          <w:highlight w:val="none"/>
          <w:u w:val="none" w:color="000000"/>
        </w:rPr>
      </w:pPr>
      <w:r>
        <w:rPr>
          <w:rFonts w:hint="eastAsia" w:ascii="宋体" w:hAnsi="宋体" w:cs="宋体"/>
          <w:b/>
          <w:color w:val="auto"/>
          <w:kern w:val="0"/>
          <w:sz w:val="36"/>
          <w:szCs w:val="36"/>
          <w:highlight w:val="none"/>
          <w:u w:val="none" w:color="000000"/>
        </w:rPr>
        <w:br w:type="page"/>
      </w:r>
      <w:r>
        <w:rPr>
          <w:rFonts w:hint="eastAsia" w:ascii="宋体" w:hAnsi="宋体" w:cs="宋体"/>
          <w:b/>
          <w:color w:val="auto"/>
          <w:kern w:val="0"/>
          <w:sz w:val="32"/>
          <w:szCs w:val="32"/>
          <w:highlight w:val="none"/>
          <w:u w:val="none" w:color="000000"/>
        </w:rPr>
        <w:t>附件1、开标一览表</w:t>
      </w:r>
    </w:p>
    <w:p w14:paraId="153B75C7">
      <w:pPr>
        <w:snapToGrid w:val="0"/>
        <w:spacing w:line="460" w:lineRule="exact"/>
        <w:textAlignment w:val="baseline"/>
        <w:rPr>
          <w:rFonts w:hint="eastAsia" w:ascii="宋体" w:hAnsi="宋体" w:cs="宋体"/>
          <w:color w:val="auto"/>
          <w:kern w:val="0"/>
          <w:sz w:val="24"/>
          <w:highlight w:val="none"/>
          <w:u w:val="none" w:color="000000"/>
        </w:rPr>
      </w:pP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7208"/>
      </w:tblGrid>
      <w:tr w14:paraId="42011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exact"/>
          <w:jc w:val="center"/>
        </w:trPr>
        <w:tc>
          <w:tcPr>
            <w:tcW w:w="1812" w:type="dxa"/>
            <w:noWrap w:val="0"/>
            <w:vAlign w:val="center"/>
          </w:tcPr>
          <w:p w14:paraId="67BCF83F">
            <w:pPr>
              <w:widowControl/>
              <w:spacing w:line="440" w:lineRule="exact"/>
              <w:jc w:val="center"/>
              <w:textAlignment w:val="baseline"/>
              <w:rPr>
                <w:rFonts w:hint="eastAsia" w:ascii="宋体" w:hAnsi="宋体" w:cs="宋体"/>
                <w:color w:val="auto"/>
                <w:kern w:val="0"/>
                <w:szCs w:val="21"/>
                <w:highlight w:val="none"/>
                <w:u w:val="none" w:color="000000"/>
              </w:rPr>
            </w:pPr>
            <w:r>
              <w:rPr>
                <w:rFonts w:hint="eastAsia" w:ascii="宋体" w:hAnsi="宋体" w:cs="宋体"/>
                <w:color w:val="auto"/>
                <w:kern w:val="0"/>
                <w:szCs w:val="21"/>
                <w:highlight w:val="none"/>
                <w:u w:val="none" w:color="000000"/>
              </w:rPr>
              <w:t>项目名称</w:t>
            </w:r>
          </w:p>
        </w:tc>
        <w:tc>
          <w:tcPr>
            <w:tcW w:w="7208" w:type="dxa"/>
            <w:noWrap w:val="0"/>
            <w:vAlign w:val="center"/>
          </w:tcPr>
          <w:p w14:paraId="068FD090">
            <w:pPr>
              <w:widowControl/>
              <w:spacing w:line="440" w:lineRule="exact"/>
              <w:jc w:val="left"/>
              <w:textAlignment w:val="baseline"/>
              <w:rPr>
                <w:rFonts w:hint="eastAsia" w:ascii="宋体" w:hAnsi="宋体" w:cs="宋体"/>
                <w:color w:val="auto"/>
                <w:kern w:val="0"/>
                <w:szCs w:val="21"/>
                <w:highlight w:val="none"/>
                <w:u w:val="none" w:color="000000"/>
              </w:rPr>
            </w:pPr>
            <w:r>
              <w:rPr>
                <w:rFonts w:hint="eastAsia" w:ascii="宋体" w:hAnsi="宋体" w:cs="宋体"/>
                <w:color w:val="auto"/>
                <w:kern w:val="0"/>
                <w:szCs w:val="21"/>
                <w:highlight w:val="none"/>
                <w:u w:val="none" w:color="000000"/>
                <w:lang w:eastAsia="zh-CN"/>
              </w:rPr>
              <w:t>滁州学院档案数字化服务项目（三期）及基建档案整理</w:t>
            </w:r>
            <w:r>
              <w:rPr>
                <w:rFonts w:hint="eastAsia" w:ascii="宋体" w:hAnsi="宋体" w:cs="宋体"/>
                <w:color w:val="auto"/>
                <w:kern w:val="0"/>
                <w:szCs w:val="21"/>
                <w:highlight w:val="none"/>
                <w:u w:val="none" w:color="000000"/>
              </w:rPr>
              <w:t xml:space="preserve"> </w:t>
            </w:r>
          </w:p>
        </w:tc>
      </w:tr>
      <w:tr w14:paraId="4FDC6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3" w:hRule="exact"/>
          <w:jc w:val="center"/>
        </w:trPr>
        <w:tc>
          <w:tcPr>
            <w:tcW w:w="1812" w:type="dxa"/>
            <w:noWrap w:val="0"/>
            <w:vAlign w:val="center"/>
          </w:tcPr>
          <w:p w14:paraId="05061A07">
            <w:pPr>
              <w:widowControl/>
              <w:spacing w:line="440" w:lineRule="exact"/>
              <w:jc w:val="center"/>
              <w:textAlignment w:val="baseline"/>
              <w:rPr>
                <w:rFonts w:hint="eastAsia" w:ascii="宋体" w:hAnsi="宋体" w:cs="宋体"/>
                <w:color w:val="auto"/>
                <w:kern w:val="0"/>
                <w:szCs w:val="21"/>
                <w:highlight w:val="none"/>
                <w:u w:val="none" w:color="000000"/>
              </w:rPr>
            </w:pPr>
            <w:r>
              <w:rPr>
                <w:rFonts w:hint="eastAsia" w:ascii="宋体" w:hAnsi="宋体" w:cs="宋体"/>
                <w:color w:val="auto"/>
                <w:kern w:val="0"/>
                <w:szCs w:val="21"/>
                <w:highlight w:val="none"/>
                <w:u w:val="none" w:color="000000"/>
              </w:rPr>
              <w:t>项目编号</w:t>
            </w:r>
          </w:p>
        </w:tc>
        <w:tc>
          <w:tcPr>
            <w:tcW w:w="7208" w:type="dxa"/>
            <w:noWrap w:val="0"/>
            <w:vAlign w:val="center"/>
          </w:tcPr>
          <w:p w14:paraId="64184B17">
            <w:pPr>
              <w:widowControl/>
              <w:spacing w:line="440" w:lineRule="exact"/>
              <w:textAlignment w:val="baseline"/>
              <w:rPr>
                <w:rFonts w:hint="eastAsia" w:ascii="宋体" w:hAnsi="宋体" w:eastAsia="宋体" w:cs="宋体"/>
                <w:color w:val="auto"/>
                <w:kern w:val="0"/>
                <w:szCs w:val="21"/>
                <w:highlight w:val="none"/>
                <w:u w:val="none" w:color="000000"/>
                <w:lang w:eastAsia="zh-CN"/>
              </w:rPr>
            </w:pPr>
            <w:r>
              <w:rPr>
                <w:rFonts w:hint="eastAsia" w:ascii="宋体" w:hAnsi="宋体" w:cs="宋体"/>
                <w:color w:val="auto"/>
                <w:kern w:val="0"/>
                <w:szCs w:val="21"/>
                <w:highlight w:val="none"/>
                <w:u w:val="none" w:color="000000"/>
              </w:rPr>
              <w:t xml:space="preserve"> 2024CG-0</w:t>
            </w:r>
            <w:r>
              <w:rPr>
                <w:rFonts w:hint="eastAsia" w:ascii="宋体" w:hAnsi="宋体" w:cs="宋体"/>
                <w:color w:val="auto"/>
                <w:kern w:val="0"/>
                <w:szCs w:val="21"/>
                <w:highlight w:val="none"/>
                <w:u w:val="none" w:color="000000"/>
                <w:lang w:val="en-US" w:eastAsia="zh-CN"/>
              </w:rPr>
              <w:t>38</w:t>
            </w:r>
          </w:p>
        </w:tc>
      </w:tr>
      <w:tr w14:paraId="7040F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exact"/>
          <w:jc w:val="center"/>
        </w:trPr>
        <w:tc>
          <w:tcPr>
            <w:tcW w:w="1812" w:type="dxa"/>
            <w:noWrap w:val="0"/>
            <w:vAlign w:val="center"/>
          </w:tcPr>
          <w:p w14:paraId="1BC5C768">
            <w:pPr>
              <w:widowControl/>
              <w:spacing w:line="440" w:lineRule="exact"/>
              <w:jc w:val="center"/>
              <w:textAlignment w:val="baseline"/>
              <w:rPr>
                <w:rFonts w:hint="eastAsia" w:ascii="宋体" w:hAnsi="宋体" w:cs="宋体"/>
                <w:color w:val="auto"/>
                <w:kern w:val="0"/>
                <w:szCs w:val="21"/>
                <w:highlight w:val="none"/>
                <w:u w:val="none" w:color="000000"/>
              </w:rPr>
            </w:pPr>
            <w:r>
              <w:rPr>
                <w:rFonts w:hint="eastAsia" w:ascii="宋体" w:hAnsi="宋体" w:cs="宋体"/>
                <w:color w:val="auto"/>
                <w:kern w:val="0"/>
                <w:szCs w:val="21"/>
                <w:highlight w:val="none"/>
                <w:u w:val="none" w:color="000000"/>
              </w:rPr>
              <w:t>供应商名称</w:t>
            </w:r>
          </w:p>
        </w:tc>
        <w:tc>
          <w:tcPr>
            <w:tcW w:w="7208" w:type="dxa"/>
            <w:noWrap w:val="0"/>
            <w:vAlign w:val="top"/>
          </w:tcPr>
          <w:p w14:paraId="611A58A1">
            <w:pPr>
              <w:spacing w:line="440" w:lineRule="exact"/>
              <w:rPr>
                <w:rFonts w:hint="eastAsia" w:ascii="宋体" w:hAnsi="宋体" w:cs="宋体"/>
                <w:color w:val="auto"/>
                <w:szCs w:val="21"/>
                <w:highlight w:val="none"/>
                <w:u w:val="none" w:color="000000"/>
              </w:rPr>
            </w:pPr>
          </w:p>
        </w:tc>
      </w:tr>
      <w:tr w14:paraId="1CA2C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exact"/>
          <w:jc w:val="center"/>
        </w:trPr>
        <w:tc>
          <w:tcPr>
            <w:tcW w:w="1812" w:type="dxa"/>
            <w:noWrap w:val="0"/>
            <w:vAlign w:val="center"/>
          </w:tcPr>
          <w:p w14:paraId="0A3EF7C9">
            <w:pPr>
              <w:spacing w:line="440" w:lineRule="exact"/>
              <w:jc w:val="center"/>
              <w:rPr>
                <w:rFonts w:hint="eastAsia" w:ascii="宋体" w:hAnsi="宋体" w:cs="宋体"/>
                <w:color w:val="auto"/>
                <w:kern w:val="0"/>
                <w:szCs w:val="21"/>
                <w:highlight w:val="none"/>
                <w:u w:val="none" w:color="000000"/>
              </w:rPr>
            </w:pPr>
            <w:r>
              <w:rPr>
                <w:rFonts w:hint="eastAsia" w:ascii="宋体" w:hAnsi="宋体" w:cs="宋体"/>
                <w:b/>
                <w:color w:val="auto"/>
                <w:szCs w:val="21"/>
                <w:highlight w:val="none"/>
              </w:rPr>
              <w:t>磋商范围</w:t>
            </w:r>
          </w:p>
        </w:tc>
        <w:tc>
          <w:tcPr>
            <w:tcW w:w="7208" w:type="dxa"/>
            <w:noWrap w:val="0"/>
            <w:vAlign w:val="center"/>
          </w:tcPr>
          <w:p w14:paraId="58D29888">
            <w:pPr>
              <w:widowControl/>
              <w:spacing w:line="440" w:lineRule="exact"/>
              <w:rPr>
                <w:rFonts w:hint="eastAsia" w:ascii="宋体" w:hAnsi="宋体" w:cs="宋体"/>
                <w:color w:val="auto"/>
                <w:szCs w:val="21"/>
                <w:highlight w:val="none"/>
                <w:u w:val="none" w:color="000000"/>
              </w:rPr>
            </w:pPr>
            <w:r>
              <w:rPr>
                <w:rFonts w:hint="eastAsia" w:ascii="宋体" w:hAnsi="宋体" w:cs="宋体"/>
                <w:color w:val="auto"/>
                <w:szCs w:val="21"/>
                <w:highlight w:val="none"/>
              </w:rPr>
              <w:t>全部</w:t>
            </w:r>
          </w:p>
        </w:tc>
      </w:tr>
      <w:tr w14:paraId="0E787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0" w:hRule="exact"/>
          <w:jc w:val="center"/>
        </w:trPr>
        <w:tc>
          <w:tcPr>
            <w:tcW w:w="1812" w:type="dxa"/>
            <w:noWrap w:val="0"/>
            <w:vAlign w:val="center"/>
          </w:tcPr>
          <w:p w14:paraId="3057FFA3">
            <w:pPr>
              <w:widowControl/>
              <w:spacing w:line="440" w:lineRule="exact"/>
              <w:jc w:val="center"/>
              <w:textAlignment w:val="baseline"/>
              <w:rPr>
                <w:rFonts w:hint="eastAsia" w:ascii="宋体" w:hAnsi="宋体" w:cs="宋体"/>
                <w:color w:val="auto"/>
                <w:kern w:val="0"/>
                <w:szCs w:val="21"/>
                <w:highlight w:val="none"/>
                <w:u w:val="none" w:color="000000"/>
              </w:rPr>
            </w:pPr>
            <w:r>
              <w:rPr>
                <w:rFonts w:hint="eastAsia" w:ascii="宋体" w:hAnsi="宋体" w:cs="宋体"/>
                <w:color w:val="auto"/>
                <w:kern w:val="0"/>
                <w:szCs w:val="21"/>
                <w:highlight w:val="none"/>
                <w:u w:val="none" w:color="000000"/>
              </w:rPr>
              <w:t>总磋商报价\服务期限</w:t>
            </w:r>
          </w:p>
        </w:tc>
        <w:tc>
          <w:tcPr>
            <w:tcW w:w="7208" w:type="dxa"/>
            <w:noWrap w:val="0"/>
            <w:vAlign w:val="center"/>
          </w:tcPr>
          <w:p w14:paraId="3634A88E">
            <w:pPr>
              <w:widowControl/>
              <w:spacing w:line="440" w:lineRule="exac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u w:val="none" w:color="000000"/>
              </w:rPr>
              <w:t>磋商总报价 （大写）：</w:t>
            </w:r>
            <w:r>
              <w:rPr>
                <w:rFonts w:hint="eastAsia" w:ascii="宋体" w:hAnsi="宋体" w:cs="宋体"/>
                <w:color w:val="auto"/>
                <w:kern w:val="0"/>
                <w:szCs w:val="21"/>
                <w:highlight w:val="none"/>
                <w:u w:val="single" w:color="000000"/>
              </w:rPr>
              <w:t xml:space="preserve">                       </w:t>
            </w:r>
            <w:r>
              <w:rPr>
                <w:rFonts w:hint="eastAsia" w:ascii="宋体" w:hAnsi="宋体" w:cs="宋体"/>
                <w:color w:val="auto"/>
                <w:kern w:val="0"/>
                <w:szCs w:val="21"/>
                <w:highlight w:val="none"/>
              </w:rPr>
              <w:t xml:space="preserve">元 </w:t>
            </w:r>
          </w:p>
          <w:p w14:paraId="1DA89AE2">
            <w:pPr>
              <w:widowControl/>
              <w:spacing w:line="440" w:lineRule="exac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u w:val="none" w:color="000000"/>
              </w:rPr>
              <w:t xml:space="preserve">            （小写） ：</w:t>
            </w:r>
            <w:r>
              <w:rPr>
                <w:rFonts w:hint="eastAsia" w:ascii="宋体" w:hAnsi="宋体" w:cs="宋体"/>
                <w:color w:val="auto"/>
                <w:kern w:val="0"/>
                <w:szCs w:val="21"/>
                <w:highlight w:val="none"/>
                <w:u w:val="single" w:color="000000"/>
              </w:rPr>
              <w:t xml:space="preserve">                        </w:t>
            </w:r>
            <w:r>
              <w:rPr>
                <w:rFonts w:hint="eastAsia" w:ascii="宋体" w:hAnsi="宋体" w:cs="宋体"/>
                <w:color w:val="auto"/>
                <w:kern w:val="0"/>
                <w:szCs w:val="21"/>
                <w:highlight w:val="none"/>
              </w:rPr>
              <w:t xml:space="preserve">元 </w:t>
            </w:r>
          </w:p>
          <w:p w14:paraId="3CD80B13">
            <w:pPr>
              <w:pStyle w:val="2"/>
              <w:spacing w:line="440" w:lineRule="exact"/>
              <w:ind w:firstLine="0" w:firstLineChars="0"/>
              <w:rPr>
                <w:rFonts w:hint="eastAsia" w:cs="宋体"/>
                <w:color w:val="auto"/>
                <w:szCs w:val="21"/>
                <w:highlight w:val="none"/>
              </w:rPr>
            </w:pPr>
          </w:p>
          <w:p w14:paraId="17B27452">
            <w:pPr>
              <w:pStyle w:val="2"/>
              <w:spacing w:line="440" w:lineRule="exact"/>
              <w:ind w:firstLine="0" w:firstLineChars="0"/>
              <w:rPr>
                <w:rFonts w:hint="eastAsia" w:cs="宋体"/>
                <w:color w:val="auto"/>
                <w:szCs w:val="21"/>
                <w:highlight w:val="none"/>
              </w:rPr>
            </w:pPr>
          </w:p>
          <w:p w14:paraId="5737BB6E">
            <w:pPr>
              <w:widowControl/>
              <w:spacing w:line="440" w:lineRule="exact"/>
              <w:textAlignment w:val="baseline"/>
              <w:rPr>
                <w:rFonts w:hint="eastAsia" w:ascii="宋体" w:hAnsi="宋体" w:cs="宋体"/>
                <w:color w:val="auto"/>
                <w:kern w:val="0"/>
                <w:szCs w:val="21"/>
                <w:highlight w:val="none"/>
                <w:u w:val="none" w:color="000000"/>
              </w:rPr>
            </w:pPr>
          </w:p>
          <w:p w14:paraId="17D35A39">
            <w:pPr>
              <w:widowControl/>
              <w:spacing w:line="440" w:lineRule="exact"/>
              <w:textAlignment w:val="baseline"/>
              <w:rPr>
                <w:rFonts w:hint="eastAsia" w:ascii="宋体" w:hAnsi="宋体" w:cs="宋体"/>
                <w:color w:val="auto"/>
                <w:kern w:val="0"/>
                <w:szCs w:val="21"/>
                <w:highlight w:val="none"/>
                <w:u w:val="none" w:color="000000"/>
              </w:rPr>
            </w:pPr>
            <w:r>
              <w:rPr>
                <w:rFonts w:hint="eastAsia" w:ascii="宋体" w:hAnsi="宋体" w:cs="宋体"/>
                <w:color w:val="auto"/>
                <w:kern w:val="0"/>
                <w:szCs w:val="21"/>
                <w:highlight w:val="none"/>
                <w:u w:val="none" w:color="000000"/>
              </w:rPr>
              <w:t>服务期限：</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w:t>
            </w:r>
          </w:p>
        </w:tc>
      </w:tr>
    </w:tbl>
    <w:p w14:paraId="01F68924">
      <w:pPr>
        <w:snapToGrid w:val="0"/>
        <w:spacing w:line="460" w:lineRule="exact"/>
        <w:ind w:left="2940" w:leftChars="1400" w:firstLine="723" w:firstLineChars="300"/>
        <w:textAlignment w:val="baseline"/>
        <w:rPr>
          <w:rFonts w:hint="eastAsia" w:ascii="宋体" w:hAnsi="宋体" w:cs="宋体"/>
          <w:b/>
          <w:color w:val="auto"/>
          <w:kern w:val="0"/>
          <w:sz w:val="24"/>
          <w:highlight w:val="none"/>
          <w:u w:val="none" w:color="000000"/>
        </w:rPr>
      </w:pPr>
    </w:p>
    <w:p w14:paraId="0B74375A">
      <w:pPr>
        <w:snapToGrid w:val="0"/>
        <w:spacing w:line="460" w:lineRule="exact"/>
        <w:ind w:left="2940" w:leftChars="1400" w:firstLine="723" w:firstLineChars="300"/>
        <w:textAlignment w:val="baseline"/>
        <w:rPr>
          <w:rFonts w:hint="eastAsia" w:ascii="宋体" w:hAnsi="宋体" w:cs="宋体"/>
          <w:b/>
          <w:color w:val="auto"/>
          <w:kern w:val="0"/>
          <w:sz w:val="24"/>
          <w:highlight w:val="none"/>
          <w:u w:val="none" w:color="000000"/>
        </w:rPr>
      </w:pPr>
    </w:p>
    <w:p w14:paraId="21357A05">
      <w:pPr>
        <w:snapToGrid w:val="0"/>
        <w:spacing w:line="460" w:lineRule="exact"/>
        <w:ind w:left="2940" w:leftChars="1400" w:firstLine="723" w:firstLineChars="300"/>
        <w:textAlignment w:val="baseline"/>
        <w:rPr>
          <w:rFonts w:hint="eastAsia" w:ascii="宋体" w:hAnsi="宋体" w:cs="宋体"/>
          <w:b/>
          <w:color w:val="auto"/>
          <w:kern w:val="0"/>
          <w:sz w:val="24"/>
          <w:highlight w:val="none"/>
          <w:u w:val="none" w:color="000000"/>
        </w:rPr>
      </w:pPr>
    </w:p>
    <w:p w14:paraId="3B3F4BA5">
      <w:pPr>
        <w:widowControl/>
        <w:spacing w:line="357" w:lineRule="atLeast"/>
        <w:textAlignment w:val="baseline"/>
        <w:rPr>
          <w:rFonts w:hint="eastAsia" w:ascii="宋体" w:hAnsi="宋体" w:cs="宋体"/>
          <w:color w:val="auto"/>
          <w:kern w:val="0"/>
          <w:sz w:val="24"/>
          <w:highlight w:val="none"/>
          <w:u w:val="none" w:color="000000"/>
        </w:rPr>
      </w:pPr>
      <w:r>
        <w:rPr>
          <w:rFonts w:hint="eastAsia" w:ascii="宋体" w:hAnsi="宋体" w:cs="宋体"/>
          <w:color w:val="auto"/>
          <w:kern w:val="0"/>
          <w:sz w:val="24"/>
          <w:highlight w:val="none"/>
          <w:u w:val="none" w:color="000000"/>
        </w:rPr>
        <w:t xml:space="preserve">法定代表人（签字或盖章）：                </w:t>
      </w:r>
    </w:p>
    <w:p w14:paraId="184A797C">
      <w:pPr>
        <w:widowControl/>
        <w:spacing w:line="357" w:lineRule="atLeast"/>
        <w:textAlignment w:val="baseline"/>
        <w:rPr>
          <w:rFonts w:hint="eastAsia" w:ascii="宋体" w:hAnsi="宋体" w:cs="宋体"/>
          <w:color w:val="auto"/>
          <w:kern w:val="0"/>
          <w:sz w:val="24"/>
          <w:highlight w:val="none"/>
          <w:u w:val="none" w:color="000000"/>
        </w:rPr>
      </w:pPr>
    </w:p>
    <w:p w14:paraId="65F6E0C5">
      <w:pPr>
        <w:widowControl/>
        <w:spacing w:line="357" w:lineRule="atLeast"/>
        <w:textAlignment w:val="baseline"/>
        <w:rPr>
          <w:rFonts w:hint="eastAsia" w:ascii="宋体" w:hAnsi="宋体" w:cs="宋体"/>
          <w:color w:val="auto"/>
          <w:kern w:val="0"/>
          <w:sz w:val="24"/>
          <w:highlight w:val="none"/>
          <w:u w:val="none" w:color="000000"/>
        </w:rPr>
      </w:pPr>
      <w:r>
        <w:rPr>
          <w:rFonts w:hint="eastAsia" w:ascii="宋体" w:hAnsi="宋体" w:cs="宋体"/>
          <w:color w:val="auto"/>
          <w:kern w:val="0"/>
          <w:sz w:val="24"/>
          <w:highlight w:val="none"/>
          <w:u w:val="none" w:color="000000"/>
        </w:rPr>
        <w:t>供应商（盖单位章）：</w:t>
      </w:r>
    </w:p>
    <w:p w14:paraId="690339C7">
      <w:pPr>
        <w:widowControl/>
        <w:spacing w:line="357" w:lineRule="atLeast"/>
        <w:textAlignment w:val="baseline"/>
        <w:rPr>
          <w:rFonts w:hint="eastAsia" w:ascii="宋体" w:hAnsi="宋体" w:cs="宋体"/>
          <w:color w:val="auto"/>
          <w:kern w:val="0"/>
          <w:sz w:val="24"/>
          <w:highlight w:val="none"/>
          <w:u w:val="none" w:color="000000"/>
        </w:rPr>
      </w:pPr>
    </w:p>
    <w:p w14:paraId="33D1FC73">
      <w:pPr>
        <w:widowControl/>
        <w:spacing w:line="357" w:lineRule="atLeast"/>
        <w:textAlignment w:val="baseline"/>
        <w:rPr>
          <w:rFonts w:hint="eastAsia" w:ascii="宋体" w:hAnsi="宋体" w:cs="宋体"/>
          <w:color w:val="auto"/>
          <w:kern w:val="0"/>
          <w:sz w:val="24"/>
          <w:highlight w:val="none"/>
          <w:u w:val="none" w:color="000000"/>
        </w:rPr>
      </w:pPr>
    </w:p>
    <w:p w14:paraId="05AA17E5">
      <w:pPr>
        <w:snapToGrid w:val="0"/>
        <w:spacing w:before="312" w:beforeLines="100" w:after="312" w:afterLines="100" w:line="360" w:lineRule="auto"/>
        <w:jc w:val="center"/>
        <w:textAlignment w:val="baseline"/>
        <w:rPr>
          <w:rFonts w:hint="eastAsia" w:ascii="宋体" w:hAnsi="宋体" w:cs="宋体"/>
          <w:color w:val="auto"/>
          <w:kern w:val="0"/>
          <w:sz w:val="24"/>
          <w:highlight w:val="none"/>
          <w:u w:val="none" w:color="000000"/>
        </w:rPr>
      </w:pPr>
      <w:r>
        <w:rPr>
          <w:rFonts w:hint="eastAsia" w:ascii="宋体" w:hAnsi="宋体" w:cs="宋体"/>
          <w:color w:val="auto"/>
          <w:kern w:val="0"/>
          <w:sz w:val="24"/>
          <w:highlight w:val="none"/>
          <w:u w:val="none" w:color="000000"/>
        </w:rPr>
        <w:t xml:space="preserve">                                      日  期：    年  月  日 </w:t>
      </w:r>
    </w:p>
    <w:p w14:paraId="5BDAFAAF">
      <w:pPr>
        <w:widowControl/>
        <w:spacing w:line="357" w:lineRule="atLeast"/>
        <w:ind w:right="-178" w:rightChars="-85"/>
        <w:textAlignment w:val="baseline"/>
        <w:rPr>
          <w:rFonts w:hint="eastAsia" w:ascii="宋体" w:hAnsi="宋体" w:cs="宋体"/>
          <w:color w:val="auto"/>
          <w:kern w:val="0"/>
          <w:sz w:val="24"/>
          <w:szCs w:val="20"/>
          <w:highlight w:val="none"/>
          <w:u w:val="single" w:color="000000"/>
        </w:rPr>
      </w:pPr>
    </w:p>
    <w:p w14:paraId="71FA675D">
      <w:pPr>
        <w:pStyle w:val="2"/>
        <w:ind w:firstLine="480"/>
        <w:rPr>
          <w:rFonts w:hint="eastAsia" w:cs="宋体"/>
          <w:color w:val="auto"/>
          <w:kern w:val="0"/>
          <w:sz w:val="24"/>
          <w:highlight w:val="none"/>
          <w:u w:val="single" w:color="000000"/>
        </w:rPr>
      </w:pPr>
    </w:p>
    <w:p w14:paraId="2D666705">
      <w:pPr>
        <w:keepNext/>
        <w:keepLines/>
        <w:spacing w:before="260" w:after="260" w:line="415" w:lineRule="auto"/>
        <w:jc w:val="center"/>
        <w:outlineLvl w:val="1"/>
        <w:rPr>
          <w:rFonts w:hint="eastAsia" w:ascii="宋体" w:hAnsi="宋体" w:cs="宋体"/>
          <w:b/>
          <w:color w:val="auto"/>
          <w:sz w:val="32"/>
          <w:highlight w:val="none"/>
        </w:rPr>
      </w:pPr>
      <w:r>
        <w:rPr>
          <w:rFonts w:hint="eastAsia" w:ascii="宋体" w:hAnsi="宋体" w:cs="宋体"/>
          <w:b/>
          <w:color w:val="auto"/>
          <w:sz w:val="32"/>
          <w:highlight w:val="none"/>
        </w:rPr>
        <w:t>附件2、磋商响应函</w:t>
      </w:r>
    </w:p>
    <w:p w14:paraId="5E0360AF">
      <w:pPr>
        <w:spacing w:line="440" w:lineRule="exact"/>
        <w:rPr>
          <w:rFonts w:hint="eastAsia" w:ascii="宋体" w:hAnsi="宋体" w:cs="宋体"/>
          <w:color w:val="auto"/>
          <w:sz w:val="24"/>
          <w:szCs w:val="20"/>
          <w:highlight w:val="none"/>
        </w:rPr>
      </w:pPr>
      <w:r>
        <w:rPr>
          <w:rFonts w:hint="eastAsia" w:ascii="宋体" w:hAnsi="宋体" w:cs="宋体"/>
          <w:color w:val="auto"/>
          <w:sz w:val="24"/>
          <w:szCs w:val="20"/>
          <w:highlight w:val="none"/>
        </w:rPr>
        <w:t>致：</w:t>
      </w:r>
      <w:r>
        <w:rPr>
          <w:rFonts w:hint="eastAsia" w:ascii="宋体" w:hAnsi="宋体" w:cs="宋体"/>
          <w:color w:val="auto"/>
          <w:sz w:val="24"/>
          <w:szCs w:val="20"/>
          <w:highlight w:val="none"/>
          <w:u w:val="single"/>
        </w:rPr>
        <w:t xml:space="preserve">（采购人）                 </w:t>
      </w:r>
    </w:p>
    <w:p w14:paraId="348F3F2F">
      <w:pPr>
        <w:widowControl/>
        <w:spacing w:line="440" w:lineRule="exact"/>
        <w:ind w:firstLine="480" w:firstLineChars="200"/>
        <w:textAlignment w:val="baseline"/>
        <w:rPr>
          <w:rFonts w:hint="eastAsia" w:ascii="宋体" w:hAnsi="宋体" w:cs="宋体"/>
          <w:color w:val="auto"/>
          <w:sz w:val="24"/>
          <w:highlight w:val="none"/>
        </w:rPr>
      </w:pPr>
      <w:r>
        <w:rPr>
          <w:rFonts w:hint="eastAsia" w:ascii="宋体" w:hAnsi="宋体" w:cs="宋体"/>
          <w:color w:val="auto"/>
          <w:sz w:val="24"/>
          <w:highlight w:val="none"/>
        </w:rPr>
        <w:t>我方已仔细研究了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（项目名称）磋商文件的全部内容，</w:t>
      </w:r>
      <w:r>
        <w:rPr>
          <w:rFonts w:hint="eastAsia" w:ascii="宋体" w:hAnsi="宋体" w:cs="宋体"/>
          <w:color w:val="auto"/>
          <w:kern w:val="0"/>
          <w:sz w:val="24"/>
          <w:highlight w:val="none"/>
          <w:u w:val="none" w:color="000000"/>
        </w:rPr>
        <w:t>磋商报价</w:t>
      </w:r>
      <w:r>
        <w:rPr>
          <w:rFonts w:hint="eastAsia" w:ascii="宋体" w:hAnsi="宋体" w:cs="宋体"/>
          <w:color w:val="auto"/>
          <w:sz w:val="24"/>
          <w:highlight w:val="none"/>
        </w:rPr>
        <w:t>愿意以人民币</w:t>
      </w:r>
      <w:r>
        <w:rPr>
          <w:rFonts w:hint="eastAsia" w:ascii="宋体" w:hAnsi="宋体" w:cs="宋体"/>
          <w:color w:val="auto"/>
          <w:kern w:val="0"/>
          <w:sz w:val="24"/>
          <w:highlight w:val="none"/>
          <w:u w:val="none" w:color="000000"/>
        </w:rPr>
        <w:t>（大写）：</w:t>
      </w:r>
      <w:r>
        <w:rPr>
          <w:rFonts w:hint="eastAsia" w:ascii="宋体" w:hAnsi="宋体" w:cs="宋体"/>
          <w:color w:val="auto"/>
          <w:kern w:val="0"/>
          <w:sz w:val="24"/>
          <w:highlight w:val="none"/>
          <w:u w:val="single" w:color="000000"/>
        </w:rPr>
        <w:t xml:space="preserve">                       </w:t>
      </w:r>
      <w:r>
        <w:rPr>
          <w:rFonts w:hint="eastAsia" w:ascii="宋体" w:hAnsi="宋体" w:cs="宋体"/>
          <w:color w:val="auto"/>
          <w:kern w:val="0"/>
          <w:sz w:val="24"/>
          <w:highlight w:val="none"/>
        </w:rPr>
        <w:t xml:space="preserve">元 </w:t>
      </w:r>
      <w:r>
        <w:rPr>
          <w:rFonts w:hint="eastAsia" w:ascii="宋体" w:hAnsi="宋体" w:cs="宋体"/>
          <w:color w:val="auto"/>
          <w:sz w:val="24"/>
          <w:highlight w:val="none"/>
        </w:rPr>
        <w:t>，</w:t>
      </w:r>
      <w:r>
        <w:rPr>
          <w:rFonts w:hint="eastAsia" w:ascii="宋体" w:hAnsi="宋体" w:cs="宋体"/>
          <w:color w:val="auto"/>
          <w:kern w:val="0"/>
          <w:sz w:val="24"/>
          <w:highlight w:val="none"/>
          <w:u w:val="none" w:color="000000"/>
        </w:rPr>
        <w:t xml:space="preserve"> （小写） ：</w:t>
      </w:r>
      <w:r>
        <w:rPr>
          <w:rFonts w:hint="eastAsia" w:ascii="宋体" w:hAnsi="宋体" w:cs="宋体"/>
          <w:color w:val="auto"/>
          <w:kern w:val="0"/>
          <w:sz w:val="24"/>
          <w:highlight w:val="none"/>
          <w:u w:val="single" w:color="000000"/>
        </w:rPr>
        <w:t xml:space="preserve">                      </w:t>
      </w:r>
      <w:r>
        <w:rPr>
          <w:rFonts w:hint="eastAsia" w:ascii="宋体" w:hAnsi="宋体" w:cs="宋体"/>
          <w:color w:val="auto"/>
          <w:kern w:val="0"/>
          <w:sz w:val="24"/>
          <w:highlight w:val="none"/>
        </w:rPr>
        <w:t>元，</w:t>
      </w:r>
      <w:r>
        <w:rPr>
          <w:rFonts w:hint="eastAsia" w:ascii="宋体" w:hAnsi="宋体" w:cs="宋体"/>
          <w:color w:val="auto"/>
          <w:sz w:val="24"/>
          <w:highlight w:val="none"/>
        </w:rPr>
        <w:t>完成所承担项目的一切工作 。</w:t>
      </w:r>
    </w:p>
    <w:p w14:paraId="66396509">
      <w:pPr>
        <w:widowControl/>
        <w:spacing w:line="440" w:lineRule="exact"/>
        <w:ind w:firstLine="480" w:firstLineChars="200"/>
        <w:textAlignment w:val="baseline"/>
        <w:rPr>
          <w:rFonts w:hint="eastAsia" w:ascii="宋体" w:hAnsi="宋体" w:cs="宋体"/>
          <w:b/>
          <w:color w:val="auto"/>
          <w:sz w:val="24"/>
          <w:highlight w:val="none"/>
        </w:rPr>
      </w:pPr>
      <w:r>
        <w:rPr>
          <w:rFonts w:hint="eastAsia" w:ascii="宋体" w:hAnsi="宋体" w:cs="宋体"/>
          <w:color w:val="auto"/>
          <w:sz w:val="24"/>
          <w:highlight w:val="none"/>
        </w:rPr>
        <w:t>根据贵方的磋商文件，签字代表</w:t>
      </w:r>
      <w:r>
        <w:rPr>
          <w:rFonts w:hint="eastAsia" w:ascii="宋体" w:hAnsi="宋体" w:cs="宋体"/>
          <w:color w:val="auto"/>
          <w:sz w:val="24"/>
          <w:highlight w:val="none"/>
          <w:u w:val="single"/>
        </w:rPr>
        <w:t xml:space="preserve">      （全名、职务）</w:t>
      </w:r>
      <w:r>
        <w:rPr>
          <w:rFonts w:hint="eastAsia" w:ascii="宋体" w:hAnsi="宋体" w:cs="宋体"/>
          <w:color w:val="auto"/>
          <w:sz w:val="24"/>
          <w:highlight w:val="none"/>
        </w:rPr>
        <w:t>经正式授权并代表</w:t>
      </w:r>
      <w:r>
        <w:rPr>
          <w:rFonts w:hint="eastAsia" w:ascii="宋体" w:hAnsi="宋体" w:cs="宋体"/>
          <w:color w:val="auto"/>
          <w:sz w:val="24"/>
          <w:highlight w:val="none"/>
          <w:u w:val="single"/>
        </w:rPr>
        <w:t xml:space="preserve"> （供应商名称）</w:t>
      </w:r>
      <w:r>
        <w:rPr>
          <w:rFonts w:hint="eastAsia" w:ascii="宋体" w:hAnsi="宋体" w:cs="宋体"/>
          <w:color w:val="auto"/>
          <w:sz w:val="24"/>
          <w:highlight w:val="none"/>
        </w:rPr>
        <w:t>提交包含下述内容的响应文件正本壹份、副本贰份。</w:t>
      </w:r>
    </w:p>
    <w:p w14:paraId="475C3B70">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 磋商响应函；</w:t>
      </w:r>
    </w:p>
    <w:p w14:paraId="4C073DE0">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 磋商报价表；</w:t>
      </w:r>
    </w:p>
    <w:p w14:paraId="2DC3AE41">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 按磋商须知要求提供的全部文件和磋商文件要求的响应文件；</w:t>
      </w:r>
    </w:p>
    <w:p w14:paraId="0780A767">
      <w:pPr>
        <w:spacing w:line="440" w:lineRule="exact"/>
        <w:ind w:firstLine="480" w:firstLineChars="200"/>
        <w:outlineLvl w:val="1"/>
        <w:rPr>
          <w:rFonts w:hint="eastAsia" w:ascii="宋体" w:hAnsi="宋体" w:cs="宋体"/>
          <w:color w:val="auto"/>
          <w:sz w:val="24"/>
          <w:highlight w:val="none"/>
        </w:rPr>
      </w:pPr>
      <w:r>
        <w:rPr>
          <w:rFonts w:hint="eastAsia" w:ascii="宋体" w:hAnsi="宋体" w:cs="宋体"/>
          <w:color w:val="auto"/>
          <w:sz w:val="24"/>
          <w:highlight w:val="none"/>
        </w:rPr>
        <w:t>(4) 供应商相关证明文件；</w:t>
      </w:r>
    </w:p>
    <w:p w14:paraId="03811D04">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 我单位按磋商文件要求缴纳已缴纳磋商保证金据此函，签字代表宣布同意如下：</w:t>
      </w:r>
    </w:p>
    <w:p w14:paraId="43289559">
      <w:pPr>
        <w:spacing w:line="440" w:lineRule="exact"/>
        <w:ind w:firstLine="480" w:firstLineChars="200"/>
        <w:outlineLvl w:val="2"/>
        <w:rPr>
          <w:rFonts w:hint="eastAsia" w:ascii="宋体" w:hAnsi="宋体" w:cs="宋体"/>
          <w:color w:val="auto"/>
          <w:sz w:val="24"/>
          <w:highlight w:val="none"/>
        </w:rPr>
      </w:pPr>
      <w:r>
        <w:rPr>
          <w:rFonts w:hint="eastAsia" w:ascii="宋体" w:hAnsi="宋体" w:cs="宋体"/>
          <w:color w:val="auto"/>
          <w:sz w:val="24"/>
          <w:highlight w:val="none"/>
        </w:rPr>
        <w:t>1、供应商将按磋商文件的规定履行合同责任和义务；</w:t>
      </w:r>
    </w:p>
    <w:p w14:paraId="6CA8841A">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 供应商已详细审查全部磋商文件，包括修改文件（如有的话）以及全部参考资料和有关附件。我们完全理解并同意放弃对这方面有不明及误解的权利；</w:t>
      </w:r>
    </w:p>
    <w:p w14:paraId="44AE89C8">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 磋商报价自递交响应文件截止之日起有效期为</w:t>
      </w:r>
      <w:r>
        <w:rPr>
          <w:rFonts w:hint="eastAsia" w:ascii="宋体" w:hAnsi="宋体" w:cs="宋体"/>
          <w:color w:val="auto"/>
          <w:sz w:val="24"/>
          <w:highlight w:val="none"/>
          <w:u w:val="single"/>
        </w:rPr>
        <w:t xml:space="preserve"> 60</w:t>
      </w:r>
      <w:r>
        <w:rPr>
          <w:rFonts w:hint="eastAsia" w:ascii="宋体" w:hAnsi="宋体" w:cs="宋体"/>
          <w:color w:val="auto"/>
          <w:sz w:val="24"/>
          <w:highlight w:val="none"/>
        </w:rPr>
        <w:t>个日历天；</w:t>
      </w:r>
    </w:p>
    <w:p w14:paraId="7DE951E9">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 如果在规定的有效期内撤回磋商报价；或成交后未按磋商文件中磋商须知规定的向采购代理机构交纳足额的采购代理服务费，其磋商保证金将被贵方没收；</w:t>
      </w:r>
    </w:p>
    <w:p w14:paraId="59619F7F">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 供应商同意提供按照贵方可能要求的与其报价有关的一切数据或资料，完全理解贵方不一定要接受最低价的磋商报价或收到的任何磋商报价。</w:t>
      </w:r>
    </w:p>
    <w:p w14:paraId="3AAFA516">
      <w:pPr>
        <w:spacing w:line="440" w:lineRule="exact"/>
        <w:ind w:firstLine="480" w:firstLineChars="200"/>
        <w:outlineLvl w:val="1"/>
        <w:rPr>
          <w:rFonts w:ascii="宋体" w:hAnsi="宋体" w:cs="宋体"/>
          <w:color w:val="auto"/>
          <w:sz w:val="24"/>
          <w:highlight w:val="none"/>
          <w:u w:val="single"/>
        </w:rPr>
      </w:pPr>
      <w:r>
        <w:rPr>
          <w:rFonts w:hint="eastAsia" w:ascii="宋体" w:hAnsi="宋体" w:cs="宋体"/>
          <w:color w:val="auto"/>
          <w:sz w:val="24"/>
          <w:highlight w:val="none"/>
        </w:rPr>
        <w:t>6. 与本磋商有关的一切正式往来通信请寄：</w:t>
      </w:r>
      <w:r>
        <w:rPr>
          <w:rFonts w:hint="eastAsia" w:ascii="宋体" w:hAnsi="宋体" w:cs="宋体"/>
          <w:color w:val="auto"/>
          <w:sz w:val="24"/>
          <w:highlight w:val="none"/>
          <w:u w:val="single"/>
        </w:rPr>
        <w:t xml:space="preserve">                            </w:t>
      </w:r>
    </w:p>
    <w:p w14:paraId="6BF49DB1">
      <w:pPr>
        <w:spacing w:line="440" w:lineRule="exact"/>
        <w:rPr>
          <w:rFonts w:hint="eastAsia" w:ascii="宋体" w:hAnsi="宋体" w:cs="宋体"/>
          <w:color w:val="auto"/>
          <w:sz w:val="24"/>
          <w:highlight w:val="none"/>
        </w:rPr>
      </w:pPr>
    </w:p>
    <w:p w14:paraId="6306FB57">
      <w:pPr>
        <w:spacing w:line="440" w:lineRule="exact"/>
        <w:rPr>
          <w:rFonts w:hint="eastAsia" w:ascii="宋体" w:hAnsi="宋体" w:cs="宋体"/>
          <w:color w:val="auto"/>
          <w:sz w:val="24"/>
          <w:highlight w:val="none"/>
        </w:rPr>
      </w:pPr>
      <w:r>
        <w:rPr>
          <w:rFonts w:hint="eastAsia" w:ascii="宋体" w:hAnsi="宋体" w:cs="宋体"/>
          <w:color w:val="auto"/>
          <w:sz w:val="24"/>
          <w:highlight w:val="none"/>
        </w:rPr>
        <w:t>地址：              邮编：</w:t>
      </w:r>
    </w:p>
    <w:p w14:paraId="25E9FEE3">
      <w:pPr>
        <w:spacing w:line="440" w:lineRule="exact"/>
        <w:rPr>
          <w:rFonts w:hint="eastAsia" w:ascii="宋体" w:hAnsi="宋体" w:cs="宋体"/>
          <w:color w:val="auto"/>
          <w:sz w:val="24"/>
          <w:highlight w:val="none"/>
        </w:rPr>
      </w:pPr>
      <w:r>
        <w:rPr>
          <w:rFonts w:hint="eastAsia" w:ascii="宋体" w:hAnsi="宋体" w:cs="宋体"/>
          <w:color w:val="auto"/>
          <w:sz w:val="24"/>
          <w:highlight w:val="none"/>
        </w:rPr>
        <w:t>电话：              传真：</w:t>
      </w:r>
    </w:p>
    <w:p w14:paraId="40055BB1">
      <w:pPr>
        <w:spacing w:line="440" w:lineRule="exact"/>
        <w:rPr>
          <w:rFonts w:hint="eastAsia" w:ascii="宋体" w:hAnsi="宋体" w:cs="宋体"/>
          <w:color w:val="auto"/>
          <w:sz w:val="24"/>
          <w:highlight w:val="none"/>
        </w:rPr>
      </w:pPr>
      <w:r>
        <w:rPr>
          <w:rFonts w:hint="eastAsia" w:ascii="宋体" w:hAnsi="宋体" w:cs="宋体"/>
          <w:color w:val="auto"/>
          <w:sz w:val="24"/>
          <w:highlight w:val="none"/>
        </w:rPr>
        <w:t>供应商代表姓名、职务：</w:t>
      </w:r>
      <w:r>
        <w:rPr>
          <w:rFonts w:hint="eastAsia" w:ascii="宋体" w:hAnsi="宋体" w:cs="宋体"/>
          <w:color w:val="auto"/>
          <w:sz w:val="24"/>
          <w:highlight w:val="none"/>
        </w:rPr>
        <w:br w:type="textWrapping"/>
      </w: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（公章）</w:t>
      </w:r>
    </w:p>
    <w:p w14:paraId="64F4A874">
      <w:pPr>
        <w:spacing w:line="440" w:lineRule="exact"/>
        <w:rPr>
          <w:rFonts w:hint="eastAsia" w:ascii="宋体" w:hAnsi="宋体" w:cs="宋体"/>
          <w:color w:val="auto"/>
          <w:sz w:val="24"/>
          <w:highlight w:val="none"/>
        </w:rPr>
      </w:pPr>
      <w:r>
        <w:rPr>
          <w:rFonts w:hint="eastAsia" w:ascii="宋体" w:hAnsi="宋体" w:cs="宋体"/>
          <w:color w:val="auto"/>
          <w:sz w:val="24"/>
          <w:highlight w:val="none"/>
        </w:rPr>
        <w:t>法定代表人或被授权代表</w:t>
      </w:r>
      <w:r>
        <w:rPr>
          <w:rFonts w:hint="eastAsia" w:ascii="宋体" w:hAnsi="宋体" w:cs="宋体"/>
          <w:color w:val="auto"/>
          <w:sz w:val="24"/>
          <w:highlight w:val="none"/>
          <w:lang w:eastAsia="zh-CN"/>
        </w:rPr>
        <w:t>（</w:t>
      </w:r>
      <w:r>
        <w:rPr>
          <w:rFonts w:hint="eastAsia" w:ascii="宋体" w:hAnsi="宋体" w:cs="宋体"/>
          <w:color w:val="auto"/>
          <w:sz w:val="24"/>
          <w:highlight w:val="none"/>
        </w:rPr>
        <w:t>签字或盖章</w:t>
      </w:r>
      <w:r>
        <w:rPr>
          <w:rFonts w:hint="eastAsia" w:ascii="宋体" w:hAnsi="宋体" w:cs="宋体"/>
          <w:color w:val="auto"/>
          <w:sz w:val="24"/>
          <w:highlight w:val="none"/>
          <w:lang w:eastAsia="zh-CN"/>
        </w:rPr>
        <w:t>）</w:t>
      </w:r>
      <w:r>
        <w:rPr>
          <w:rFonts w:hint="eastAsia" w:ascii="宋体" w:hAnsi="宋体" w:cs="宋体"/>
          <w:color w:val="auto"/>
          <w:sz w:val="24"/>
          <w:highlight w:val="none"/>
        </w:rPr>
        <w:t>：</w:t>
      </w:r>
    </w:p>
    <w:p w14:paraId="7D6ECD03">
      <w:pPr>
        <w:spacing w:line="440" w:lineRule="exact"/>
        <w:rPr>
          <w:rFonts w:hint="eastAsia" w:ascii="宋体" w:hAnsi="宋体" w:cs="宋体"/>
          <w:color w:val="auto"/>
          <w:sz w:val="24"/>
          <w:highlight w:val="none"/>
        </w:rPr>
      </w:pPr>
      <w:r>
        <w:rPr>
          <w:rFonts w:hint="eastAsia" w:ascii="宋体" w:hAnsi="宋体" w:cs="宋体"/>
          <w:color w:val="auto"/>
          <w:sz w:val="24"/>
          <w:highlight w:val="none"/>
        </w:rPr>
        <w:t>日期： 年  月 日</w:t>
      </w:r>
    </w:p>
    <w:bookmarkEnd w:id="166"/>
    <w:bookmarkEnd w:id="167"/>
    <w:bookmarkEnd w:id="168"/>
    <w:p w14:paraId="3B1E3EDD">
      <w:pPr>
        <w:rPr>
          <w:rFonts w:hint="eastAsia" w:ascii="宋体" w:hAnsi="宋体" w:cs="宋体"/>
          <w:b/>
          <w:bCs/>
          <w:color w:val="auto"/>
          <w:sz w:val="24"/>
          <w:szCs w:val="28"/>
          <w:highlight w:val="none"/>
        </w:rPr>
      </w:pPr>
    </w:p>
    <w:p w14:paraId="18498D8C">
      <w:pPr>
        <w:pStyle w:val="25"/>
        <w:rPr>
          <w:rFonts w:hint="eastAsia" w:ascii="宋体" w:hAnsi="宋体" w:eastAsia="宋体" w:cs="宋体"/>
          <w:b/>
          <w:bCs/>
          <w:color w:val="auto"/>
          <w:sz w:val="24"/>
          <w:szCs w:val="28"/>
          <w:highlight w:val="none"/>
        </w:rPr>
      </w:pPr>
    </w:p>
    <w:p w14:paraId="5A9764FF">
      <w:pPr>
        <w:snapToGrid w:val="0"/>
        <w:spacing w:after="156" w:afterLines="50" w:line="360" w:lineRule="auto"/>
        <w:jc w:val="center"/>
        <w:rPr>
          <w:rFonts w:hint="eastAsia" w:ascii="宋体" w:hAnsi="宋体" w:cs="宋体"/>
          <w:b/>
          <w:color w:val="auto"/>
          <w:sz w:val="30"/>
          <w:szCs w:val="30"/>
          <w:highlight w:val="none"/>
        </w:rPr>
      </w:pPr>
      <w:bookmarkStart w:id="174" w:name="_Toc427016289"/>
      <w:bookmarkStart w:id="175" w:name="_Toc418769921"/>
      <w:bookmarkStart w:id="176" w:name="_Toc444778691"/>
    </w:p>
    <w:p w14:paraId="2D4F64BD">
      <w:pPr>
        <w:pStyle w:val="25"/>
        <w:jc w:val="center"/>
        <w:rPr>
          <w:rFonts w:hint="eastAsia" w:ascii="宋体" w:hAnsi="宋体" w:eastAsia="宋体" w:cs="宋体"/>
          <w:b/>
          <w:color w:val="auto"/>
          <w:kern w:val="2"/>
          <w:sz w:val="32"/>
          <w:szCs w:val="24"/>
          <w:highlight w:val="none"/>
          <w:u w:val="none"/>
          <w:lang w:val="en-US" w:eastAsia="zh-CN" w:bidi="ar-SA"/>
        </w:rPr>
      </w:pPr>
      <w:r>
        <w:rPr>
          <w:rFonts w:hint="eastAsia" w:ascii="宋体" w:hAnsi="宋体" w:cs="宋体"/>
          <w:b/>
          <w:color w:val="auto"/>
          <w:sz w:val="32"/>
          <w:highlight w:val="none"/>
        </w:rPr>
        <w:t>附件</w:t>
      </w:r>
      <w:r>
        <w:rPr>
          <w:rFonts w:hint="eastAsia" w:ascii="宋体" w:hAnsi="宋体" w:cs="宋体"/>
          <w:b/>
          <w:color w:val="auto"/>
          <w:sz w:val="32"/>
          <w:highlight w:val="none"/>
          <w:lang w:val="en-US" w:eastAsia="zh-CN"/>
        </w:rPr>
        <w:t>3</w:t>
      </w:r>
      <w:r>
        <w:rPr>
          <w:rFonts w:hint="eastAsia" w:ascii="宋体" w:hAnsi="宋体" w:cs="宋体"/>
          <w:b/>
          <w:color w:val="auto"/>
          <w:sz w:val="32"/>
          <w:highlight w:val="none"/>
        </w:rPr>
        <w:t>、</w:t>
      </w:r>
      <w:r>
        <w:rPr>
          <w:rFonts w:hint="eastAsia" w:ascii="宋体" w:hAnsi="宋体" w:eastAsia="宋体" w:cs="宋体"/>
          <w:b/>
          <w:color w:val="auto"/>
          <w:kern w:val="2"/>
          <w:sz w:val="32"/>
          <w:szCs w:val="24"/>
          <w:highlight w:val="none"/>
          <w:u w:val="none"/>
          <w:lang w:val="en-US" w:eastAsia="zh-CN" w:bidi="ar-SA"/>
        </w:rPr>
        <w:t>分项报价清单</w:t>
      </w:r>
    </w:p>
    <w:tbl>
      <w:tblPr>
        <w:tblStyle w:val="35"/>
        <w:tblW w:w="9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186"/>
        <w:gridCol w:w="3407"/>
        <w:gridCol w:w="662"/>
        <w:gridCol w:w="1448"/>
        <w:gridCol w:w="1312"/>
        <w:gridCol w:w="1312"/>
      </w:tblGrid>
      <w:tr w14:paraId="455D7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670" w:type="dxa"/>
            <w:noWrap w:val="0"/>
            <w:vAlign w:val="center"/>
          </w:tcPr>
          <w:p w14:paraId="6588CAFF">
            <w:pPr>
              <w:keepNext/>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b/>
                <w:bCs w:val="0"/>
                <w:color w:val="auto"/>
                <w:sz w:val="21"/>
                <w:szCs w:val="21"/>
                <w:highlight w:val="none"/>
              </w:rPr>
            </w:pPr>
            <w:r>
              <w:rPr>
                <w:rFonts w:hint="eastAsia" w:ascii="黑体" w:hAnsi="黑体" w:eastAsia="黑体" w:cs="黑体"/>
                <w:b/>
                <w:bCs w:val="0"/>
                <w:color w:val="auto"/>
                <w:sz w:val="21"/>
                <w:szCs w:val="21"/>
                <w:highlight w:val="none"/>
              </w:rPr>
              <w:t>序号</w:t>
            </w:r>
          </w:p>
        </w:tc>
        <w:tc>
          <w:tcPr>
            <w:tcW w:w="1186" w:type="dxa"/>
            <w:noWrap/>
            <w:vAlign w:val="center"/>
          </w:tcPr>
          <w:p w14:paraId="232FCC7B">
            <w:pPr>
              <w:keepNext/>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b/>
                <w:bCs w:val="0"/>
                <w:color w:val="auto"/>
                <w:sz w:val="21"/>
                <w:szCs w:val="21"/>
                <w:highlight w:val="none"/>
              </w:rPr>
            </w:pPr>
            <w:r>
              <w:rPr>
                <w:rFonts w:hint="eastAsia" w:ascii="黑体" w:hAnsi="黑体" w:eastAsia="黑体" w:cs="黑体"/>
                <w:b/>
                <w:bCs w:val="0"/>
                <w:color w:val="auto"/>
                <w:sz w:val="21"/>
                <w:szCs w:val="21"/>
                <w:highlight w:val="none"/>
              </w:rPr>
              <w:t>服务项目</w:t>
            </w:r>
          </w:p>
        </w:tc>
        <w:tc>
          <w:tcPr>
            <w:tcW w:w="3407" w:type="dxa"/>
            <w:noWrap/>
            <w:vAlign w:val="center"/>
          </w:tcPr>
          <w:p w14:paraId="45339EA0">
            <w:pPr>
              <w:keepNext/>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b/>
                <w:bCs w:val="0"/>
                <w:color w:val="auto"/>
                <w:sz w:val="21"/>
                <w:szCs w:val="21"/>
                <w:highlight w:val="none"/>
              </w:rPr>
            </w:pPr>
            <w:r>
              <w:rPr>
                <w:rFonts w:hint="eastAsia" w:ascii="黑体" w:hAnsi="黑体" w:eastAsia="黑体" w:cs="黑体"/>
                <w:b/>
                <w:bCs w:val="0"/>
                <w:color w:val="auto"/>
                <w:sz w:val="21"/>
                <w:szCs w:val="21"/>
                <w:highlight w:val="none"/>
              </w:rPr>
              <w:t>内容及要求</w:t>
            </w:r>
          </w:p>
        </w:tc>
        <w:tc>
          <w:tcPr>
            <w:tcW w:w="662" w:type="dxa"/>
            <w:noWrap/>
            <w:vAlign w:val="center"/>
          </w:tcPr>
          <w:p w14:paraId="7AFC0E3B">
            <w:pPr>
              <w:keepNext/>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b/>
                <w:bCs w:val="0"/>
                <w:color w:val="auto"/>
                <w:sz w:val="21"/>
                <w:szCs w:val="21"/>
                <w:highlight w:val="none"/>
              </w:rPr>
            </w:pPr>
            <w:r>
              <w:rPr>
                <w:rFonts w:hint="eastAsia" w:ascii="黑体" w:hAnsi="黑体" w:eastAsia="黑体" w:cs="黑体"/>
                <w:b/>
                <w:bCs w:val="0"/>
                <w:color w:val="auto"/>
                <w:sz w:val="21"/>
                <w:szCs w:val="21"/>
                <w:highlight w:val="none"/>
              </w:rPr>
              <w:t>单位</w:t>
            </w:r>
          </w:p>
        </w:tc>
        <w:tc>
          <w:tcPr>
            <w:tcW w:w="1448" w:type="dxa"/>
            <w:noWrap/>
            <w:vAlign w:val="center"/>
          </w:tcPr>
          <w:p w14:paraId="0475FF6A">
            <w:pPr>
              <w:keepNext/>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b/>
                <w:bCs w:val="0"/>
                <w:color w:val="auto"/>
                <w:sz w:val="21"/>
                <w:szCs w:val="21"/>
                <w:highlight w:val="none"/>
                <w:lang w:eastAsia="zh-CN"/>
              </w:rPr>
            </w:pPr>
            <w:r>
              <w:rPr>
                <w:rFonts w:hint="eastAsia" w:ascii="黑体" w:hAnsi="黑体" w:eastAsia="黑体" w:cs="黑体"/>
                <w:b/>
                <w:bCs w:val="0"/>
                <w:color w:val="auto"/>
                <w:sz w:val="21"/>
                <w:szCs w:val="21"/>
                <w:highlight w:val="none"/>
                <w:lang w:val="en-US" w:eastAsia="zh-CN"/>
              </w:rPr>
              <w:t>数量</w:t>
            </w:r>
            <w:r>
              <w:rPr>
                <w:rFonts w:hint="eastAsia" w:ascii="黑体" w:hAnsi="黑体" w:eastAsia="黑体" w:cs="黑体"/>
                <w:b/>
                <w:bCs w:val="0"/>
                <w:color w:val="auto"/>
                <w:kern w:val="0"/>
                <w:sz w:val="21"/>
                <w:szCs w:val="21"/>
                <w:highlight w:val="none"/>
              </w:rPr>
              <w:t>（预估，以实际为准）</w:t>
            </w:r>
          </w:p>
        </w:tc>
        <w:tc>
          <w:tcPr>
            <w:tcW w:w="1312" w:type="dxa"/>
            <w:noWrap/>
            <w:vAlign w:val="center"/>
          </w:tcPr>
          <w:p w14:paraId="76882715">
            <w:pPr>
              <w:keepNext/>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b/>
                <w:bCs w:val="0"/>
                <w:color w:val="auto"/>
                <w:sz w:val="21"/>
                <w:szCs w:val="21"/>
                <w:highlight w:val="none"/>
              </w:rPr>
            </w:pPr>
            <w:r>
              <w:rPr>
                <w:rFonts w:hint="eastAsia" w:ascii="黑体" w:hAnsi="黑体" w:eastAsia="黑体" w:cs="黑体"/>
                <w:b/>
                <w:bCs w:val="0"/>
                <w:color w:val="auto"/>
                <w:sz w:val="21"/>
                <w:szCs w:val="21"/>
                <w:highlight w:val="none"/>
                <w:lang w:val="en-US" w:eastAsia="zh-CN"/>
              </w:rPr>
              <w:t>投标综合单价</w:t>
            </w:r>
            <w:r>
              <w:rPr>
                <w:rFonts w:hint="eastAsia" w:ascii="黑体" w:hAnsi="黑体" w:eastAsia="黑体" w:cs="黑体"/>
                <w:b/>
                <w:bCs w:val="0"/>
                <w:color w:val="auto"/>
                <w:sz w:val="21"/>
                <w:szCs w:val="21"/>
                <w:highlight w:val="none"/>
                <w:lang w:eastAsia="zh-CN"/>
              </w:rPr>
              <w:t>（元）</w:t>
            </w:r>
          </w:p>
        </w:tc>
        <w:tc>
          <w:tcPr>
            <w:tcW w:w="1312" w:type="dxa"/>
            <w:noWrap/>
            <w:vAlign w:val="center"/>
          </w:tcPr>
          <w:p w14:paraId="273A9EFA">
            <w:pPr>
              <w:keepNext/>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b/>
                <w:bCs w:val="0"/>
                <w:color w:val="auto"/>
                <w:sz w:val="21"/>
                <w:szCs w:val="21"/>
                <w:highlight w:val="none"/>
                <w:lang w:val="en-US" w:eastAsia="zh-CN"/>
              </w:rPr>
            </w:pPr>
            <w:r>
              <w:rPr>
                <w:rFonts w:hint="eastAsia" w:ascii="黑体" w:hAnsi="黑体" w:eastAsia="黑体" w:cs="黑体"/>
                <w:b/>
                <w:bCs w:val="0"/>
                <w:color w:val="auto"/>
                <w:sz w:val="21"/>
                <w:szCs w:val="21"/>
                <w:highlight w:val="none"/>
                <w:lang w:val="en-US" w:eastAsia="zh-CN"/>
              </w:rPr>
              <w:t>合价（元）</w:t>
            </w:r>
          </w:p>
        </w:tc>
      </w:tr>
      <w:tr w14:paraId="4FDB3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jc w:val="center"/>
        </w:trPr>
        <w:tc>
          <w:tcPr>
            <w:tcW w:w="670" w:type="dxa"/>
            <w:noWrap w:val="0"/>
            <w:vAlign w:val="center"/>
          </w:tcPr>
          <w:p w14:paraId="36B5CC6A">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86" w:type="dxa"/>
            <w:noWrap/>
            <w:vAlign w:val="center"/>
          </w:tcPr>
          <w:p w14:paraId="5CF31DE0">
            <w:pPr>
              <w:keepLines w:val="0"/>
              <w:pageBreakBefore w:val="0"/>
              <w:widowControl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rPr>
              <w:t>A4档案扫描</w:t>
            </w:r>
          </w:p>
        </w:tc>
        <w:tc>
          <w:tcPr>
            <w:tcW w:w="3407" w:type="dxa"/>
            <w:noWrap/>
            <w:vAlign w:val="center"/>
          </w:tcPr>
          <w:p w14:paraId="3F4FC8E5">
            <w:pPr>
              <w:keepLines w:val="0"/>
              <w:pageBreakBefore w:val="0"/>
              <w:widowControl w:val="0"/>
              <w:kinsoku/>
              <w:wordWrap/>
              <w:overflowPunct/>
              <w:topLinePunct w:val="0"/>
              <w:autoSpaceDE/>
              <w:autoSpaceDN/>
              <w:bidi w:val="0"/>
              <w:adjustRightInd/>
              <w:snapToGrid/>
              <w:spacing w:line="44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rPr>
              <w:t>扫描、修图、质检、图片格式转换、数据挂接、数据备份、档案还原、档案入库</w:t>
            </w:r>
          </w:p>
        </w:tc>
        <w:tc>
          <w:tcPr>
            <w:tcW w:w="662" w:type="dxa"/>
            <w:noWrap/>
            <w:vAlign w:val="center"/>
          </w:tcPr>
          <w:p w14:paraId="0EE96CD8">
            <w:pPr>
              <w:keepLines w:val="0"/>
              <w:pageBreakBefore w:val="0"/>
              <w:widowControl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页</w:t>
            </w:r>
          </w:p>
        </w:tc>
        <w:tc>
          <w:tcPr>
            <w:tcW w:w="1448" w:type="dxa"/>
            <w:noWrap/>
            <w:vAlign w:val="center"/>
          </w:tcPr>
          <w:p w14:paraId="29115244">
            <w:pPr>
              <w:keepLines w:val="0"/>
              <w:pageBreakBefore w:val="0"/>
              <w:widowControl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700000</w:t>
            </w:r>
          </w:p>
        </w:tc>
        <w:tc>
          <w:tcPr>
            <w:tcW w:w="1312" w:type="dxa"/>
            <w:noWrap/>
            <w:vAlign w:val="center"/>
          </w:tcPr>
          <w:p w14:paraId="50938B41">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p>
        </w:tc>
        <w:tc>
          <w:tcPr>
            <w:tcW w:w="1312" w:type="dxa"/>
            <w:noWrap/>
            <w:vAlign w:val="center"/>
          </w:tcPr>
          <w:p w14:paraId="3A53FFDA">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p>
        </w:tc>
      </w:tr>
      <w:tr w14:paraId="57A87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70" w:type="dxa"/>
            <w:noWrap w:val="0"/>
            <w:vAlign w:val="center"/>
          </w:tcPr>
          <w:p w14:paraId="64FA842F">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86" w:type="dxa"/>
            <w:noWrap/>
            <w:vAlign w:val="center"/>
          </w:tcPr>
          <w:p w14:paraId="4708FA94">
            <w:pPr>
              <w:keepLines w:val="0"/>
              <w:pageBreakBefore w:val="0"/>
              <w:widowControl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rPr>
              <w:t>著录</w:t>
            </w:r>
          </w:p>
        </w:tc>
        <w:tc>
          <w:tcPr>
            <w:tcW w:w="3407" w:type="dxa"/>
            <w:noWrap/>
            <w:vAlign w:val="center"/>
          </w:tcPr>
          <w:p w14:paraId="1F8090EC">
            <w:pPr>
              <w:keepLines w:val="0"/>
              <w:pageBreakBefore w:val="0"/>
              <w:widowControl w:val="0"/>
              <w:kinsoku/>
              <w:wordWrap/>
              <w:overflowPunct/>
              <w:topLinePunct w:val="0"/>
              <w:autoSpaceDE/>
              <w:autoSpaceDN/>
              <w:bidi w:val="0"/>
              <w:adjustRightInd/>
              <w:snapToGrid/>
              <w:spacing w:line="44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rPr>
              <w:t>目录录入</w:t>
            </w:r>
          </w:p>
        </w:tc>
        <w:tc>
          <w:tcPr>
            <w:tcW w:w="662" w:type="dxa"/>
            <w:noWrap/>
            <w:vAlign w:val="center"/>
          </w:tcPr>
          <w:p w14:paraId="40AE4D8A">
            <w:pPr>
              <w:keepLines w:val="0"/>
              <w:pageBreakBefore w:val="0"/>
              <w:widowControl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条</w:t>
            </w:r>
          </w:p>
        </w:tc>
        <w:tc>
          <w:tcPr>
            <w:tcW w:w="1448" w:type="dxa"/>
            <w:noWrap/>
            <w:vAlign w:val="center"/>
          </w:tcPr>
          <w:p w14:paraId="2A4F6697">
            <w:pPr>
              <w:keepLines w:val="0"/>
              <w:pageBreakBefore w:val="0"/>
              <w:widowControl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200000</w:t>
            </w:r>
          </w:p>
        </w:tc>
        <w:tc>
          <w:tcPr>
            <w:tcW w:w="1312" w:type="dxa"/>
            <w:noWrap/>
            <w:vAlign w:val="center"/>
          </w:tcPr>
          <w:p w14:paraId="30D2B7A0">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p>
        </w:tc>
        <w:tc>
          <w:tcPr>
            <w:tcW w:w="1312" w:type="dxa"/>
            <w:noWrap/>
            <w:vAlign w:val="center"/>
          </w:tcPr>
          <w:p w14:paraId="5D7AE328">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p>
        </w:tc>
      </w:tr>
      <w:tr w14:paraId="4881B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670" w:type="dxa"/>
            <w:noWrap w:val="0"/>
            <w:vAlign w:val="center"/>
          </w:tcPr>
          <w:p w14:paraId="746CCA5F">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186" w:type="dxa"/>
            <w:noWrap/>
            <w:vAlign w:val="center"/>
          </w:tcPr>
          <w:p w14:paraId="6974523F">
            <w:pPr>
              <w:keepLines w:val="0"/>
              <w:pageBreakBefore w:val="0"/>
              <w:widowControl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rPr>
              <w:t>整理</w:t>
            </w:r>
          </w:p>
        </w:tc>
        <w:tc>
          <w:tcPr>
            <w:tcW w:w="3407" w:type="dxa"/>
            <w:noWrap/>
            <w:vAlign w:val="center"/>
          </w:tcPr>
          <w:p w14:paraId="79C3BE20">
            <w:pPr>
              <w:keepLines w:val="0"/>
              <w:pageBreakBefore w:val="0"/>
              <w:widowControl w:val="0"/>
              <w:kinsoku/>
              <w:wordWrap/>
              <w:overflowPunct/>
              <w:topLinePunct w:val="0"/>
              <w:autoSpaceDE/>
              <w:autoSpaceDN/>
              <w:bidi w:val="0"/>
              <w:adjustRightInd/>
              <w:snapToGrid/>
              <w:spacing w:line="44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rPr>
              <w:t>排序、页码编写、目录打印、封面打印、装订、装盒、盒脊及封面打印</w:t>
            </w:r>
          </w:p>
        </w:tc>
        <w:tc>
          <w:tcPr>
            <w:tcW w:w="662" w:type="dxa"/>
            <w:noWrap/>
            <w:vAlign w:val="center"/>
          </w:tcPr>
          <w:p w14:paraId="6BFEDD5E">
            <w:pPr>
              <w:keepLines w:val="0"/>
              <w:pageBreakBefore w:val="0"/>
              <w:widowControl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卷</w:t>
            </w:r>
          </w:p>
        </w:tc>
        <w:tc>
          <w:tcPr>
            <w:tcW w:w="1448" w:type="dxa"/>
            <w:noWrap/>
            <w:vAlign w:val="center"/>
          </w:tcPr>
          <w:p w14:paraId="2323B6CD">
            <w:pPr>
              <w:keepLines w:val="0"/>
              <w:pageBreakBefore w:val="0"/>
              <w:widowControl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1500</w:t>
            </w:r>
          </w:p>
        </w:tc>
        <w:tc>
          <w:tcPr>
            <w:tcW w:w="1312" w:type="dxa"/>
            <w:noWrap/>
            <w:vAlign w:val="center"/>
          </w:tcPr>
          <w:p w14:paraId="6C37F023">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p>
        </w:tc>
        <w:tc>
          <w:tcPr>
            <w:tcW w:w="1312" w:type="dxa"/>
            <w:noWrap/>
            <w:vAlign w:val="center"/>
          </w:tcPr>
          <w:p w14:paraId="4980BD6C">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p>
        </w:tc>
      </w:tr>
      <w:tr w14:paraId="5B477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670" w:type="dxa"/>
            <w:noWrap w:val="0"/>
            <w:vAlign w:val="center"/>
          </w:tcPr>
          <w:p w14:paraId="1BC4F0FB">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186" w:type="dxa"/>
            <w:noWrap/>
            <w:vAlign w:val="center"/>
          </w:tcPr>
          <w:p w14:paraId="1033EA82">
            <w:pPr>
              <w:keepLines w:val="0"/>
              <w:pageBreakBefore w:val="0"/>
              <w:widowControl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rPr>
              <w:t>A4档案扫描</w:t>
            </w:r>
          </w:p>
        </w:tc>
        <w:tc>
          <w:tcPr>
            <w:tcW w:w="3407" w:type="dxa"/>
            <w:noWrap/>
            <w:vAlign w:val="center"/>
          </w:tcPr>
          <w:p w14:paraId="671EA623">
            <w:pPr>
              <w:keepLines w:val="0"/>
              <w:pageBreakBefore w:val="0"/>
              <w:widowControl w:val="0"/>
              <w:kinsoku/>
              <w:wordWrap/>
              <w:overflowPunct/>
              <w:topLinePunct w:val="0"/>
              <w:autoSpaceDE/>
              <w:autoSpaceDN/>
              <w:bidi w:val="0"/>
              <w:adjustRightInd/>
              <w:snapToGrid/>
              <w:spacing w:line="44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rPr>
              <w:t>扫描、修图、质检、图片格式转换、数据挂接、数据备份、档案入库</w:t>
            </w:r>
          </w:p>
        </w:tc>
        <w:tc>
          <w:tcPr>
            <w:tcW w:w="662" w:type="dxa"/>
            <w:noWrap/>
            <w:vAlign w:val="center"/>
          </w:tcPr>
          <w:p w14:paraId="29CC07E5">
            <w:pPr>
              <w:keepLines w:val="0"/>
              <w:pageBreakBefore w:val="0"/>
              <w:widowControl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页</w:t>
            </w:r>
          </w:p>
        </w:tc>
        <w:tc>
          <w:tcPr>
            <w:tcW w:w="1448" w:type="dxa"/>
            <w:noWrap/>
            <w:vAlign w:val="center"/>
          </w:tcPr>
          <w:p w14:paraId="20E342F9">
            <w:pPr>
              <w:keepLines w:val="0"/>
              <w:pageBreakBefore w:val="0"/>
              <w:widowControl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120000</w:t>
            </w:r>
          </w:p>
        </w:tc>
        <w:tc>
          <w:tcPr>
            <w:tcW w:w="1312" w:type="dxa"/>
            <w:noWrap/>
            <w:vAlign w:val="center"/>
          </w:tcPr>
          <w:p w14:paraId="394BA85F">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p>
        </w:tc>
        <w:tc>
          <w:tcPr>
            <w:tcW w:w="1312" w:type="dxa"/>
            <w:noWrap/>
            <w:vAlign w:val="center"/>
          </w:tcPr>
          <w:p w14:paraId="447EF1FB">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p>
        </w:tc>
      </w:tr>
      <w:tr w14:paraId="0F0FD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670" w:type="dxa"/>
            <w:noWrap w:val="0"/>
            <w:vAlign w:val="center"/>
          </w:tcPr>
          <w:p w14:paraId="3DA301EE">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186" w:type="dxa"/>
            <w:noWrap/>
            <w:vAlign w:val="center"/>
          </w:tcPr>
          <w:p w14:paraId="09CBA583">
            <w:pPr>
              <w:keepLines w:val="0"/>
              <w:pageBreakBefore w:val="0"/>
              <w:widowControl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rPr>
              <w:t>图纸扫描</w:t>
            </w:r>
          </w:p>
        </w:tc>
        <w:tc>
          <w:tcPr>
            <w:tcW w:w="3407" w:type="dxa"/>
            <w:noWrap/>
            <w:vAlign w:val="center"/>
          </w:tcPr>
          <w:p w14:paraId="4A3E7AAC">
            <w:pPr>
              <w:keepLines w:val="0"/>
              <w:pageBreakBefore w:val="0"/>
              <w:widowControl w:val="0"/>
              <w:kinsoku/>
              <w:wordWrap/>
              <w:overflowPunct/>
              <w:topLinePunct w:val="0"/>
              <w:autoSpaceDE/>
              <w:autoSpaceDN/>
              <w:bidi w:val="0"/>
              <w:adjustRightInd/>
              <w:snapToGrid/>
              <w:spacing w:line="44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rPr>
              <w:t>扫描、修图、质检、图片格式转换、数据挂接、数据备份、档案入库</w:t>
            </w:r>
          </w:p>
        </w:tc>
        <w:tc>
          <w:tcPr>
            <w:tcW w:w="662" w:type="dxa"/>
            <w:noWrap/>
            <w:vAlign w:val="center"/>
          </w:tcPr>
          <w:p w14:paraId="73799187">
            <w:pPr>
              <w:keepLines w:val="0"/>
              <w:pageBreakBefore w:val="0"/>
              <w:widowControl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页</w:t>
            </w:r>
          </w:p>
        </w:tc>
        <w:tc>
          <w:tcPr>
            <w:tcW w:w="1448" w:type="dxa"/>
            <w:noWrap/>
            <w:vAlign w:val="center"/>
          </w:tcPr>
          <w:p w14:paraId="162D0AB2">
            <w:pPr>
              <w:keepLines w:val="0"/>
              <w:pageBreakBefore w:val="0"/>
              <w:widowControl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8000</w:t>
            </w:r>
          </w:p>
        </w:tc>
        <w:tc>
          <w:tcPr>
            <w:tcW w:w="1312" w:type="dxa"/>
            <w:noWrap/>
            <w:vAlign w:val="center"/>
          </w:tcPr>
          <w:p w14:paraId="1083C7A6">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p>
        </w:tc>
        <w:tc>
          <w:tcPr>
            <w:tcW w:w="1312" w:type="dxa"/>
            <w:noWrap/>
            <w:vAlign w:val="center"/>
          </w:tcPr>
          <w:p w14:paraId="1EF21102">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p>
        </w:tc>
      </w:tr>
      <w:tr w14:paraId="7E733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70" w:type="dxa"/>
            <w:noWrap w:val="0"/>
            <w:vAlign w:val="center"/>
          </w:tcPr>
          <w:p w14:paraId="1F6D6F26">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1186" w:type="dxa"/>
            <w:noWrap/>
            <w:vAlign w:val="center"/>
          </w:tcPr>
          <w:p w14:paraId="016240F4">
            <w:pPr>
              <w:keepLines w:val="0"/>
              <w:pageBreakBefore w:val="0"/>
              <w:widowControl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rPr>
              <w:t>图纸折叠</w:t>
            </w:r>
          </w:p>
        </w:tc>
        <w:tc>
          <w:tcPr>
            <w:tcW w:w="3407" w:type="dxa"/>
            <w:noWrap/>
            <w:vAlign w:val="center"/>
          </w:tcPr>
          <w:p w14:paraId="6B49BC8B">
            <w:pPr>
              <w:keepLines w:val="0"/>
              <w:pageBreakBefore w:val="0"/>
              <w:widowControl w:val="0"/>
              <w:kinsoku/>
              <w:wordWrap/>
              <w:overflowPunct/>
              <w:topLinePunct w:val="0"/>
              <w:autoSpaceDE/>
              <w:autoSpaceDN/>
              <w:bidi w:val="0"/>
              <w:adjustRightInd/>
              <w:snapToGrid/>
              <w:spacing w:line="44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rPr>
              <w:t>依照图纸折叠规范，折叠成A4大小</w:t>
            </w:r>
          </w:p>
        </w:tc>
        <w:tc>
          <w:tcPr>
            <w:tcW w:w="662" w:type="dxa"/>
            <w:noWrap/>
            <w:vAlign w:val="center"/>
          </w:tcPr>
          <w:p w14:paraId="048C0AD5">
            <w:pPr>
              <w:keepLines w:val="0"/>
              <w:pageBreakBefore w:val="0"/>
              <w:widowControl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张</w:t>
            </w:r>
          </w:p>
        </w:tc>
        <w:tc>
          <w:tcPr>
            <w:tcW w:w="1448" w:type="dxa"/>
            <w:noWrap/>
            <w:vAlign w:val="center"/>
          </w:tcPr>
          <w:p w14:paraId="5E1E0C89">
            <w:pPr>
              <w:keepLines w:val="0"/>
              <w:pageBreakBefore w:val="0"/>
              <w:widowControl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8000</w:t>
            </w:r>
          </w:p>
        </w:tc>
        <w:tc>
          <w:tcPr>
            <w:tcW w:w="1312" w:type="dxa"/>
            <w:noWrap/>
            <w:vAlign w:val="center"/>
          </w:tcPr>
          <w:p w14:paraId="2A59FE7C">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p>
        </w:tc>
        <w:tc>
          <w:tcPr>
            <w:tcW w:w="1312" w:type="dxa"/>
            <w:noWrap/>
            <w:vAlign w:val="center"/>
          </w:tcPr>
          <w:p w14:paraId="3B8D2A4E">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p>
        </w:tc>
      </w:tr>
      <w:tr w14:paraId="44C07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70" w:type="dxa"/>
            <w:noWrap w:val="0"/>
            <w:vAlign w:val="center"/>
          </w:tcPr>
          <w:p w14:paraId="4E5C564F">
            <w:pPr>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1186" w:type="dxa"/>
            <w:noWrap/>
            <w:vAlign w:val="center"/>
          </w:tcPr>
          <w:p w14:paraId="1C87EE89">
            <w:pPr>
              <w:keepLines w:val="0"/>
              <w:pageBreakBefore w:val="0"/>
              <w:widowControl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rPr>
              <w:t>著录</w:t>
            </w:r>
          </w:p>
        </w:tc>
        <w:tc>
          <w:tcPr>
            <w:tcW w:w="3407" w:type="dxa"/>
            <w:noWrap/>
            <w:vAlign w:val="center"/>
          </w:tcPr>
          <w:p w14:paraId="4E4235E8">
            <w:pPr>
              <w:keepLines w:val="0"/>
              <w:pageBreakBefore w:val="0"/>
              <w:widowControl w:val="0"/>
              <w:kinsoku/>
              <w:wordWrap/>
              <w:overflowPunct/>
              <w:topLinePunct w:val="0"/>
              <w:autoSpaceDE/>
              <w:autoSpaceDN/>
              <w:bidi w:val="0"/>
              <w:adjustRightInd/>
              <w:snapToGrid/>
              <w:spacing w:line="44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rPr>
              <w:t>目录录入</w:t>
            </w:r>
          </w:p>
        </w:tc>
        <w:tc>
          <w:tcPr>
            <w:tcW w:w="662" w:type="dxa"/>
            <w:noWrap/>
            <w:vAlign w:val="center"/>
          </w:tcPr>
          <w:p w14:paraId="53BDAF12">
            <w:pPr>
              <w:keepLines w:val="0"/>
              <w:pageBreakBefore w:val="0"/>
              <w:widowControl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条</w:t>
            </w:r>
          </w:p>
        </w:tc>
        <w:tc>
          <w:tcPr>
            <w:tcW w:w="1448" w:type="dxa"/>
            <w:noWrap/>
            <w:vAlign w:val="center"/>
          </w:tcPr>
          <w:p w14:paraId="2F7B04FB">
            <w:pPr>
              <w:keepLines w:val="0"/>
              <w:pageBreakBefore w:val="0"/>
              <w:widowControl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15000</w:t>
            </w:r>
          </w:p>
        </w:tc>
        <w:tc>
          <w:tcPr>
            <w:tcW w:w="1312" w:type="dxa"/>
            <w:noWrap/>
            <w:vAlign w:val="center"/>
          </w:tcPr>
          <w:p w14:paraId="1FA0D7FC">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p>
        </w:tc>
        <w:tc>
          <w:tcPr>
            <w:tcW w:w="1312" w:type="dxa"/>
            <w:noWrap/>
            <w:vAlign w:val="center"/>
          </w:tcPr>
          <w:p w14:paraId="22B666E4">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p>
        </w:tc>
      </w:tr>
      <w:tr w14:paraId="72766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jc w:val="center"/>
        </w:trPr>
        <w:tc>
          <w:tcPr>
            <w:tcW w:w="670" w:type="dxa"/>
            <w:noWrap w:val="0"/>
            <w:vAlign w:val="center"/>
          </w:tcPr>
          <w:p w14:paraId="7AD6A7A0">
            <w:pPr>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1186" w:type="dxa"/>
            <w:noWrap/>
            <w:vAlign w:val="center"/>
          </w:tcPr>
          <w:p w14:paraId="4A4230CF">
            <w:pPr>
              <w:keepLines w:val="0"/>
              <w:pageBreakBefore w:val="0"/>
              <w:widowControl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rPr>
              <w:t>档案盒</w:t>
            </w:r>
          </w:p>
        </w:tc>
        <w:tc>
          <w:tcPr>
            <w:tcW w:w="3407" w:type="dxa"/>
            <w:noWrap/>
            <w:vAlign w:val="center"/>
          </w:tcPr>
          <w:p w14:paraId="249336C2">
            <w:pPr>
              <w:keepLines w:val="0"/>
              <w:pageBreakBefore w:val="0"/>
              <w:widowControl w:val="0"/>
              <w:kinsoku/>
              <w:wordWrap/>
              <w:overflowPunct/>
              <w:topLinePunct w:val="0"/>
              <w:autoSpaceDE/>
              <w:autoSpaceDN/>
              <w:bidi w:val="0"/>
              <w:adjustRightInd/>
              <w:snapToGrid/>
              <w:spacing w:line="44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rPr>
              <w:t>无酸牛皮纸（签订合同前提供第三方检测机构出具的该批次产品具有CMA或CNAS标识的检测报告）</w:t>
            </w:r>
          </w:p>
        </w:tc>
        <w:tc>
          <w:tcPr>
            <w:tcW w:w="662" w:type="dxa"/>
            <w:noWrap/>
            <w:vAlign w:val="center"/>
          </w:tcPr>
          <w:p w14:paraId="46C29C58">
            <w:pPr>
              <w:keepLines w:val="0"/>
              <w:pageBreakBefore w:val="0"/>
              <w:widowControl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个</w:t>
            </w:r>
          </w:p>
        </w:tc>
        <w:tc>
          <w:tcPr>
            <w:tcW w:w="1448" w:type="dxa"/>
            <w:noWrap/>
            <w:vAlign w:val="center"/>
          </w:tcPr>
          <w:p w14:paraId="12079D74">
            <w:pPr>
              <w:keepLines w:val="0"/>
              <w:pageBreakBefore w:val="0"/>
              <w:widowControl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3000</w:t>
            </w:r>
          </w:p>
        </w:tc>
        <w:tc>
          <w:tcPr>
            <w:tcW w:w="1312" w:type="dxa"/>
            <w:noWrap/>
            <w:vAlign w:val="center"/>
          </w:tcPr>
          <w:p w14:paraId="262007D3">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p>
        </w:tc>
        <w:tc>
          <w:tcPr>
            <w:tcW w:w="1312" w:type="dxa"/>
            <w:noWrap/>
            <w:vAlign w:val="center"/>
          </w:tcPr>
          <w:p w14:paraId="08678606">
            <w:pPr>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p>
        </w:tc>
      </w:tr>
      <w:tr w14:paraId="1B1A5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997" w:type="dxa"/>
            <w:gridSpan w:val="7"/>
            <w:noWrap w:val="0"/>
            <w:vAlign w:val="center"/>
          </w:tcPr>
          <w:p w14:paraId="1B62B3D1">
            <w:pPr>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合计：大写：</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元</w:t>
            </w:r>
            <w:r>
              <w:rPr>
                <w:rFonts w:hint="eastAsia" w:ascii="宋体" w:hAnsi="宋体" w:eastAsia="宋体" w:cs="宋体"/>
                <w:color w:val="auto"/>
                <w:sz w:val="21"/>
                <w:szCs w:val="21"/>
                <w:highlight w:val="none"/>
                <w:lang w:val="en-US" w:eastAsia="zh-CN"/>
              </w:rPr>
              <w:t xml:space="preserve">    小写：    元</w:t>
            </w:r>
          </w:p>
        </w:tc>
      </w:tr>
    </w:tbl>
    <w:p w14:paraId="7EE1824D">
      <w:pPr>
        <w:spacing w:line="440" w:lineRule="exact"/>
        <w:rPr>
          <w:rFonts w:hint="eastAsia" w:ascii="宋体" w:hAnsi="宋体" w:cs="宋体"/>
          <w:b/>
          <w:bCs/>
          <w:color w:val="auto"/>
          <w:szCs w:val="21"/>
          <w:highlight w:val="none"/>
        </w:rPr>
      </w:pPr>
      <w:r>
        <w:rPr>
          <w:rFonts w:hint="eastAsia" w:ascii="宋体" w:hAnsi="宋体" w:cs="宋体"/>
          <w:b/>
          <w:bCs/>
          <w:color w:val="auto"/>
          <w:szCs w:val="21"/>
          <w:highlight w:val="none"/>
        </w:rPr>
        <w:t>注：结算时以各分项的综合单价最后报价、以实际数量为准</w:t>
      </w:r>
      <w:r>
        <w:rPr>
          <w:rFonts w:hint="eastAsia" w:ascii="宋体" w:hAnsi="宋体" w:cs="宋体"/>
          <w:b/>
          <w:bCs/>
          <w:color w:val="auto"/>
          <w:szCs w:val="21"/>
          <w:highlight w:val="none"/>
          <w:lang w:eastAsia="zh-CN"/>
        </w:rPr>
        <w:t>，综合单价不变</w:t>
      </w:r>
      <w:r>
        <w:rPr>
          <w:rFonts w:hint="eastAsia" w:ascii="宋体" w:hAnsi="宋体" w:cs="宋体"/>
          <w:b/>
          <w:bCs/>
          <w:color w:val="auto"/>
          <w:szCs w:val="21"/>
          <w:highlight w:val="none"/>
        </w:rPr>
        <w:t>。</w:t>
      </w:r>
    </w:p>
    <w:p w14:paraId="10B364B8">
      <w:pPr>
        <w:spacing w:line="440" w:lineRule="exact"/>
        <w:rPr>
          <w:rFonts w:hint="eastAsia" w:ascii="宋体" w:hAnsi="宋体" w:cs="宋体"/>
          <w:color w:val="auto"/>
          <w:szCs w:val="21"/>
          <w:highlight w:val="none"/>
        </w:rPr>
      </w:pPr>
    </w:p>
    <w:p w14:paraId="79A87CBF">
      <w:pPr>
        <w:spacing w:line="440" w:lineRule="exact"/>
        <w:rPr>
          <w:rFonts w:hint="eastAsia" w:ascii="宋体" w:hAnsi="宋体" w:cs="宋体"/>
          <w:color w:val="auto"/>
          <w:szCs w:val="21"/>
          <w:highlight w:val="none"/>
          <w:u w:val="single"/>
        </w:rPr>
      </w:pPr>
      <w:r>
        <w:rPr>
          <w:rFonts w:hint="eastAsia" w:ascii="宋体" w:hAnsi="宋体" w:cs="宋体"/>
          <w:color w:val="auto"/>
          <w:szCs w:val="21"/>
          <w:highlight w:val="none"/>
        </w:rPr>
        <w:t>供应商名称：</w:t>
      </w:r>
      <w:r>
        <w:rPr>
          <w:rFonts w:hint="eastAsia" w:ascii="宋体" w:hAnsi="宋体" w:cs="宋体"/>
          <w:color w:val="auto"/>
          <w:szCs w:val="21"/>
          <w:highlight w:val="none"/>
          <w:u w:val="single"/>
        </w:rPr>
        <w:t xml:space="preserve">        （公章）          </w:t>
      </w:r>
    </w:p>
    <w:p w14:paraId="6F63DE1B">
      <w:pPr>
        <w:pStyle w:val="15"/>
        <w:rPr>
          <w:rFonts w:hint="eastAsia"/>
          <w:color w:val="auto"/>
          <w:highlight w:val="none"/>
        </w:rPr>
      </w:pPr>
    </w:p>
    <w:p w14:paraId="060E82E3">
      <w:pPr>
        <w:spacing w:line="440" w:lineRule="exact"/>
        <w:rPr>
          <w:rFonts w:hint="eastAsia" w:ascii="宋体" w:hAnsi="宋体" w:cs="宋体"/>
          <w:color w:val="auto"/>
          <w:szCs w:val="21"/>
          <w:highlight w:val="none"/>
          <w:u w:val="single"/>
        </w:rPr>
      </w:pPr>
      <w:r>
        <w:rPr>
          <w:rFonts w:hint="eastAsia" w:ascii="宋体" w:hAnsi="宋体" w:cs="宋体"/>
          <w:color w:val="auto"/>
          <w:szCs w:val="21"/>
          <w:highlight w:val="none"/>
        </w:rPr>
        <w:t>法定代表人或代理人（被授权人）：</w:t>
      </w:r>
      <w:r>
        <w:rPr>
          <w:rFonts w:hint="eastAsia" w:ascii="宋体" w:hAnsi="宋体" w:cs="宋体"/>
          <w:color w:val="auto"/>
          <w:szCs w:val="21"/>
          <w:highlight w:val="none"/>
          <w:u w:val="single"/>
        </w:rPr>
        <w:t xml:space="preserve"> （签字或盖章）          </w:t>
      </w:r>
    </w:p>
    <w:p w14:paraId="12EA7E65">
      <w:pPr>
        <w:pStyle w:val="15"/>
        <w:rPr>
          <w:rFonts w:hint="eastAsia"/>
          <w:color w:val="auto"/>
          <w:highlight w:val="none"/>
        </w:rPr>
      </w:pPr>
    </w:p>
    <w:p w14:paraId="150A3A5E">
      <w:pPr>
        <w:spacing w:line="440" w:lineRule="exact"/>
        <w:jc w:val="center"/>
        <w:outlineLvl w:val="0"/>
        <w:rPr>
          <w:rFonts w:hint="eastAsia"/>
          <w:color w:val="auto"/>
          <w:szCs w:val="21"/>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577BD064">
      <w:pPr>
        <w:spacing w:before="162" w:beforeLines="50" w:after="162" w:afterLines="50" w:line="440" w:lineRule="exact"/>
        <w:jc w:val="center"/>
        <w:outlineLvl w:val="9"/>
        <w:rPr>
          <w:rFonts w:hint="eastAsia" w:ascii="宋体" w:hAnsi="宋体" w:cs="宋体"/>
          <w:b/>
          <w:color w:val="auto"/>
          <w:sz w:val="32"/>
          <w:szCs w:val="32"/>
          <w:highlight w:val="none"/>
        </w:rPr>
      </w:pPr>
    </w:p>
    <w:p w14:paraId="1DB940A1">
      <w:pPr>
        <w:snapToGrid w:val="0"/>
        <w:spacing w:after="156" w:afterLines="50" w:line="360" w:lineRule="auto"/>
        <w:jc w:val="center"/>
        <w:rPr>
          <w:rFonts w:hint="eastAsia" w:ascii="宋体" w:hAnsi="宋体" w:cs="宋体"/>
          <w:b/>
          <w:color w:val="auto"/>
          <w:sz w:val="30"/>
          <w:szCs w:val="30"/>
          <w:highlight w:val="none"/>
        </w:rPr>
      </w:pPr>
    </w:p>
    <w:p w14:paraId="373E751D">
      <w:pPr>
        <w:pageBreakBefore/>
        <w:jc w:val="center"/>
        <w:rPr>
          <w:rFonts w:hint="eastAsia" w:ascii="宋体" w:hAnsi="宋体" w:cs="宋体"/>
          <w:b/>
          <w:color w:val="auto"/>
          <w:sz w:val="28"/>
          <w:highlight w:val="none"/>
        </w:rPr>
        <w:sectPr>
          <w:footerReference r:id="rId10" w:type="first"/>
          <w:headerReference r:id="rId7" w:type="default"/>
          <w:footerReference r:id="rId8" w:type="default"/>
          <w:footerReference r:id="rId9" w:type="even"/>
          <w:pgSz w:w="11906" w:h="16838"/>
          <w:pgMar w:top="1134" w:right="1417" w:bottom="1134" w:left="1417" w:header="283" w:footer="680" w:gutter="0"/>
          <w:cols w:space="720" w:num="1"/>
          <w:titlePg/>
          <w:docGrid w:type="lines" w:linePitch="312" w:charSpace="0"/>
        </w:sectPr>
      </w:pPr>
    </w:p>
    <w:p w14:paraId="00A3A742">
      <w:pPr>
        <w:keepNext/>
        <w:keepLines/>
        <w:spacing w:before="260" w:after="260" w:line="415" w:lineRule="auto"/>
        <w:jc w:val="center"/>
        <w:outlineLvl w:val="1"/>
        <w:rPr>
          <w:rFonts w:hint="eastAsia" w:ascii="宋体" w:hAnsi="宋体" w:cs="宋体"/>
          <w:b/>
          <w:color w:val="auto"/>
          <w:sz w:val="32"/>
          <w:highlight w:val="none"/>
        </w:rPr>
      </w:pPr>
      <w:r>
        <w:rPr>
          <w:rFonts w:hint="eastAsia" w:ascii="宋体" w:hAnsi="宋体" w:cs="宋体"/>
          <w:b/>
          <w:color w:val="auto"/>
          <w:sz w:val="32"/>
          <w:highlight w:val="none"/>
        </w:rPr>
        <w:t>附件</w:t>
      </w:r>
      <w:r>
        <w:rPr>
          <w:rFonts w:hint="eastAsia" w:ascii="宋体" w:hAnsi="宋体" w:cs="宋体"/>
          <w:b/>
          <w:color w:val="auto"/>
          <w:sz w:val="32"/>
          <w:highlight w:val="none"/>
          <w:lang w:val="en-US" w:eastAsia="zh-CN"/>
        </w:rPr>
        <w:t>4</w:t>
      </w:r>
      <w:r>
        <w:rPr>
          <w:rFonts w:hint="eastAsia" w:ascii="宋体" w:hAnsi="宋体" w:cs="宋体"/>
          <w:b/>
          <w:color w:val="auto"/>
          <w:sz w:val="32"/>
          <w:highlight w:val="none"/>
        </w:rPr>
        <w:t>、最终承诺报价表</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14:paraId="11AB8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noWrap w:val="0"/>
            <w:vAlign w:val="center"/>
          </w:tcPr>
          <w:p w14:paraId="2B00FB63">
            <w:pPr>
              <w:spacing w:line="600" w:lineRule="exact"/>
              <w:jc w:val="center"/>
              <w:rPr>
                <w:rFonts w:hint="eastAsia" w:ascii="宋体" w:hAnsi="宋体" w:cs="宋体"/>
                <w:bCs/>
                <w:color w:val="auto"/>
                <w:sz w:val="24"/>
                <w:highlight w:val="none"/>
              </w:rPr>
            </w:pPr>
            <w:r>
              <w:rPr>
                <w:rFonts w:hint="eastAsia" w:ascii="宋体" w:hAnsi="宋体" w:cs="宋体"/>
                <w:bCs/>
                <w:color w:val="auto"/>
                <w:sz w:val="24"/>
                <w:highlight w:val="none"/>
              </w:rPr>
              <w:t>项目名称</w:t>
            </w:r>
          </w:p>
        </w:tc>
        <w:tc>
          <w:tcPr>
            <w:tcW w:w="6492" w:type="dxa"/>
            <w:tcBorders>
              <w:left w:val="single" w:color="auto" w:sz="4" w:space="0"/>
            </w:tcBorders>
            <w:noWrap w:val="0"/>
            <w:vAlign w:val="center"/>
          </w:tcPr>
          <w:p w14:paraId="27454C1A">
            <w:pPr>
              <w:spacing w:line="600" w:lineRule="exact"/>
              <w:jc w:val="center"/>
              <w:rPr>
                <w:rFonts w:hint="eastAsia" w:ascii="宋体" w:hAnsi="宋体" w:cs="宋体"/>
                <w:bCs/>
                <w:color w:val="auto"/>
                <w:sz w:val="24"/>
                <w:highlight w:val="none"/>
              </w:rPr>
            </w:pPr>
            <w:r>
              <w:rPr>
                <w:rFonts w:hint="eastAsia" w:ascii="宋体" w:hAnsi="宋体" w:cs="宋体"/>
                <w:bCs/>
                <w:color w:val="auto"/>
                <w:sz w:val="24"/>
                <w:highlight w:val="none"/>
                <w:lang w:eastAsia="zh-CN"/>
              </w:rPr>
              <w:t>滁州学院档案数字化服务项目（三期）及基建档案整理</w:t>
            </w:r>
            <w:r>
              <w:rPr>
                <w:rFonts w:hint="eastAsia" w:ascii="宋体" w:hAnsi="宋体" w:cs="宋体"/>
                <w:bCs/>
                <w:color w:val="auto"/>
                <w:sz w:val="24"/>
                <w:highlight w:val="none"/>
              </w:rPr>
              <w:t xml:space="preserve"> </w:t>
            </w:r>
          </w:p>
        </w:tc>
      </w:tr>
      <w:tr w14:paraId="129BC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noWrap w:val="0"/>
            <w:vAlign w:val="center"/>
          </w:tcPr>
          <w:p w14:paraId="441EAF0E">
            <w:pPr>
              <w:spacing w:line="600" w:lineRule="exact"/>
              <w:jc w:val="center"/>
              <w:rPr>
                <w:rFonts w:hint="eastAsia" w:ascii="宋体" w:hAnsi="宋体" w:cs="宋体"/>
                <w:bCs/>
                <w:color w:val="auto"/>
                <w:sz w:val="24"/>
                <w:highlight w:val="none"/>
              </w:rPr>
            </w:pPr>
            <w:r>
              <w:rPr>
                <w:rFonts w:hint="eastAsia" w:ascii="宋体" w:hAnsi="宋体" w:cs="宋体"/>
                <w:bCs/>
                <w:color w:val="auto"/>
                <w:sz w:val="24"/>
                <w:highlight w:val="none"/>
              </w:rPr>
              <w:t>项目编号</w:t>
            </w:r>
          </w:p>
        </w:tc>
        <w:tc>
          <w:tcPr>
            <w:tcW w:w="6492" w:type="dxa"/>
            <w:tcBorders>
              <w:left w:val="single" w:color="auto" w:sz="4" w:space="0"/>
            </w:tcBorders>
            <w:noWrap w:val="0"/>
            <w:vAlign w:val="center"/>
          </w:tcPr>
          <w:p w14:paraId="0A354997">
            <w:pPr>
              <w:spacing w:line="600" w:lineRule="exact"/>
              <w:jc w:val="center"/>
              <w:rPr>
                <w:rFonts w:hint="eastAsia" w:ascii="宋体" w:hAnsi="宋体" w:cs="宋体"/>
                <w:bCs/>
                <w:color w:val="auto"/>
                <w:sz w:val="24"/>
                <w:highlight w:val="none"/>
              </w:rPr>
            </w:pPr>
            <w:r>
              <w:rPr>
                <w:rFonts w:hint="eastAsia" w:ascii="宋体" w:hAnsi="宋体" w:cs="宋体"/>
                <w:bCs/>
                <w:color w:val="auto"/>
                <w:sz w:val="24"/>
                <w:highlight w:val="none"/>
              </w:rPr>
              <w:t>2024CG-0</w:t>
            </w:r>
            <w:r>
              <w:rPr>
                <w:rFonts w:hint="eastAsia" w:ascii="宋体" w:hAnsi="宋体" w:cs="宋体"/>
                <w:bCs/>
                <w:color w:val="auto"/>
                <w:sz w:val="24"/>
                <w:highlight w:val="none"/>
                <w:lang w:val="en-US" w:eastAsia="zh-CN"/>
              </w:rPr>
              <w:t>38</w:t>
            </w:r>
            <w:r>
              <w:rPr>
                <w:rFonts w:hint="eastAsia" w:ascii="宋体" w:hAnsi="宋体" w:cs="宋体"/>
                <w:bCs/>
                <w:color w:val="auto"/>
                <w:sz w:val="24"/>
                <w:highlight w:val="none"/>
              </w:rPr>
              <w:t xml:space="preserve"> </w:t>
            </w:r>
          </w:p>
        </w:tc>
      </w:tr>
      <w:tr w14:paraId="6EB56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noWrap w:val="0"/>
            <w:vAlign w:val="center"/>
          </w:tcPr>
          <w:p w14:paraId="416D32A4">
            <w:pPr>
              <w:spacing w:line="600" w:lineRule="exact"/>
              <w:jc w:val="center"/>
              <w:rPr>
                <w:rFonts w:hint="eastAsia" w:ascii="宋体" w:hAnsi="宋体" w:cs="宋体"/>
                <w:bCs/>
                <w:color w:val="auto"/>
                <w:sz w:val="24"/>
                <w:highlight w:val="none"/>
              </w:rPr>
            </w:pPr>
            <w:r>
              <w:rPr>
                <w:rFonts w:hint="eastAsia" w:ascii="宋体" w:hAnsi="宋体" w:cs="宋体"/>
                <w:bCs/>
                <w:color w:val="auto"/>
                <w:sz w:val="24"/>
                <w:highlight w:val="none"/>
              </w:rPr>
              <w:t>报价次数</w:t>
            </w:r>
          </w:p>
        </w:tc>
        <w:tc>
          <w:tcPr>
            <w:tcW w:w="6492" w:type="dxa"/>
            <w:tcBorders>
              <w:left w:val="single" w:color="auto" w:sz="4" w:space="0"/>
            </w:tcBorders>
            <w:noWrap w:val="0"/>
            <w:vAlign w:val="center"/>
          </w:tcPr>
          <w:p w14:paraId="2D68F3E8">
            <w:pPr>
              <w:spacing w:line="600" w:lineRule="exact"/>
              <w:jc w:val="center"/>
              <w:rPr>
                <w:rFonts w:hint="eastAsia" w:ascii="宋体" w:hAnsi="宋体" w:cs="宋体"/>
                <w:bCs/>
                <w:color w:val="auto"/>
                <w:sz w:val="24"/>
                <w:highlight w:val="none"/>
              </w:rPr>
            </w:pPr>
            <w:r>
              <w:rPr>
                <w:rFonts w:hint="eastAsia" w:ascii="宋体" w:hAnsi="宋体" w:cs="宋体"/>
                <w:bCs/>
                <w:color w:val="auto"/>
                <w:sz w:val="24"/>
                <w:highlight w:val="none"/>
              </w:rPr>
              <w:t>第 二 报价</w:t>
            </w:r>
          </w:p>
        </w:tc>
      </w:tr>
      <w:tr w14:paraId="73D2A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noWrap w:val="0"/>
            <w:vAlign w:val="center"/>
          </w:tcPr>
          <w:p w14:paraId="70E4E4A4">
            <w:pPr>
              <w:spacing w:line="600" w:lineRule="exact"/>
              <w:jc w:val="center"/>
              <w:rPr>
                <w:rFonts w:hint="eastAsia" w:ascii="宋体" w:hAnsi="宋体" w:cs="宋体"/>
                <w:bCs/>
                <w:color w:val="auto"/>
                <w:sz w:val="24"/>
                <w:highlight w:val="none"/>
              </w:rPr>
            </w:pPr>
            <w:r>
              <w:rPr>
                <w:rFonts w:hint="eastAsia" w:ascii="宋体" w:hAnsi="宋体" w:cs="宋体"/>
                <w:bCs/>
                <w:color w:val="auto"/>
                <w:sz w:val="24"/>
                <w:highlight w:val="none"/>
              </w:rPr>
              <w:t>供应商名称</w:t>
            </w:r>
          </w:p>
        </w:tc>
        <w:tc>
          <w:tcPr>
            <w:tcW w:w="6492" w:type="dxa"/>
            <w:tcBorders>
              <w:left w:val="single" w:color="auto" w:sz="4" w:space="0"/>
            </w:tcBorders>
            <w:noWrap w:val="0"/>
            <w:vAlign w:val="center"/>
          </w:tcPr>
          <w:p w14:paraId="41A1659E">
            <w:pPr>
              <w:spacing w:line="600" w:lineRule="exact"/>
              <w:jc w:val="center"/>
              <w:rPr>
                <w:rFonts w:hint="eastAsia" w:ascii="宋体" w:hAnsi="宋体" w:cs="宋体"/>
                <w:bCs/>
                <w:color w:val="auto"/>
                <w:sz w:val="24"/>
                <w:highlight w:val="none"/>
              </w:rPr>
            </w:pPr>
          </w:p>
        </w:tc>
      </w:tr>
      <w:tr w14:paraId="4EE7F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noWrap w:val="0"/>
            <w:vAlign w:val="center"/>
          </w:tcPr>
          <w:p w14:paraId="5CEBEB4F">
            <w:pPr>
              <w:spacing w:line="600" w:lineRule="exact"/>
              <w:jc w:val="center"/>
              <w:rPr>
                <w:rFonts w:hint="eastAsia" w:ascii="宋体" w:hAnsi="宋体" w:cs="宋体"/>
                <w:bCs/>
                <w:color w:val="auto"/>
                <w:sz w:val="24"/>
                <w:highlight w:val="none"/>
              </w:rPr>
            </w:pPr>
            <w:r>
              <w:rPr>
                <w:rFonts w:hint="eastAsia" w:ascii="宋体" w:hAnsi="宋体" w:cs="宋体"/>
                <w:bCs/>
                <w:color w:val="auto"/>
                <w:sz w:val="24"/>
                <w:highlight w:val="none"/>
              </w:rPr>
              <w:t>磋商范围</w:t>
            </w:r>
          </w:p>
        </w:tc>
        <w:tc>
          <w:tcPr>
            <w:tcW w:w="6492" w:type="dxa"/>
            <w:tcBorders>
              <w:left w:val="single" w:color="auto" w:sz="4" w:space="0"/>
            </w:tcBorders>
            <w:noWrap w:val="0"/>
            <w:vAlign w:val="center"/>
          </w:tcPr>
          <w:p w14:paraId="068EC089">
            <w:pPr>
              <w:widowControl/>
              <w:spacing w:line="600" w:lineRule="exact"/>
              <w:jc w:val="center"/>
              <w:rPr>
                <w:rFonts w:hint="eastAsia" w:ascii="宋体" w:hAnsi="宋体" w:cs="宋体"/>
                <w:bCs/>
                <w:color w:val="auto"/>
                <w:sz w:val="24"/>
                <w:highlight w:val="none"/>
              </w:rPr>
            </w:pPr>
            <w:r>
              <w:rPr>
                <w:rFonts w:hint="eastAsia" w:ascii="宋体" w:hAnsi="宋体" w:cs="宋体"/>
                <w:bCs/>
                <w:color w:val="auto"/>
                <w:sz w:val="24"/>
                <w:highlight w:val="none"/>
              </w:rPr>
              <w:t>全部</w:t>
            </w:r>
          </w:p>
        </w:tc>
      </w:tr>
      <w:tr w14:paraId="68D25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2" w:hRule="atLeast"/>
        </w:trPr>
        <w:tc>
          <w:tcPr>
            <w:tcW w:w="2633" w:type="dxa"/>
            <w:tcBorders>
              <w:top w:val="single" w:color="auto" w:sz="4" w:space="0"/>
            </w:tcBorders>
            <w:noWrap w:val="0"/>
            <w:vAlign w:val="center"/>
          </w:tcPr>
          <w:p w14:paraId="55169471">
            <w:pPr>
              <w:spacing w:line="600" w:lineRule="exact"/>
              <w:jc w:val="center"/>
              <w:rPr>
                <w:rFonts w:hint="eastAsia" w:ascii="宋体" w:hAnsi="宋体" w:cs="宋体"/>
                <w:bCs/>
                <w:color w:val="auto"/>
                <w:sz w:val="24"/>
                <w:highlight w:val="none"/>
              </w:rPr>
            </w:pPr>
            <w:r>
              <w:rPr>
                <w:rFonts w:hint="eastAsia" w:ascii="宋体" w:hAnsi="宋体" w:cs="宋体"/>
                <w:bCs/>
                <w:color w:val="auto"/>
                <w:sz w:val="24"/>
                <w:highlight w:val="none"/>
              </w:rPr>
              <w:t>最终报价</w:t>
            </w:r>
          </w:p>
          <w:p w14:paraId="4CBEA1EF">
            <w:pPr>
              <w:spacing w:line="600" w:lineRule="exact"/>
              <w:jc w:val="center"/>
              <w:rPr>
                <w:rFonts w:hint="eastAsia" w:ascii="宋体" w:hAnsi="宋体" w:cs="宋体"/>
                <w:bCs/>
                <w:color w:val="auto"/>
                <w:sz w:val="24"/>
                <w:highlight w:val="none"/>
              </w:rPr>
            </w:pPr>
            <w:r>
              <w:rPr>
                <w:rFonts w:hint="eastAsia" w:ascii="宋体" w:hAnsi="宋体" w:cs="宋体"/>
                <w:bCs/>
                <w:color w:val="auto"/>
                <w:sz w:val="24"/>
                <w:highlight w:val="none"/>
              </w:rPr>
              <w:t>（详见备注说明）</w:t>
            </w:r>
          </w:p>
        </w:tc>
        <w:tc>
          <w:tcPr>
            <w:tcW w:w="6492" w:type="dxa"/>
            <w:noWrap w:val="0"/>
            <w:vAlign w:val="center"/>
          </w:tcPr>
          <w:p w14:paraId="5835F9DA">
            <w:pPr>
              <w:snapToGrid w:val="0"/>
              <w:spacing w:line="600" w:lineRule="exact"/>
              <w:rPr>
                <w:rFonts w:hint="eastAsia" w:ascii="宋体" w:hAnsi="宋体" w:cs="宋体"/>
                <w:bCs/>
                <w:color w:val="auto"/>
                <w:sz w:val="24"/>
                <w:highlight w:val="none"/>
              </w:rPr>
            </w:pPr>
          </w:p>
          <w:p w14:paraId="781A1C0E">
            <w:pPr>
              <w:snapToGrid w:val="0"/>
              <w:spacing w:line="600" w:lineRule="exact"/>
              <w:rPr>
                <w:rFonts w:hint="eastAsia" w:ascii="宋体" w:hAnsi="宋体" w:cs="宋体"/>
                <w:bCs/>
                <w:color w:val="auto"/>
                <w:sz w:val="24"/>
                <w:highlight w:val="none"/>
              </w:rPr>
            </w:pPr>
            <w:r>
              <w:rPr>
                <w:rFonts w:hint="eastAsia" w:ascii="宋体" w:hAnsi="宋体" w:cs="宋体"/>
                <w:bCs/>
                <w:color w:val="auto"/>
                <w:sz w:val="24"/>
                <w:highlight w:val="none"/>
              </w:rPr>
              <w:t xml:space="preserve"> </w:t>
            </w:r>
          </w:p>
          <w:p w14:paraId="28AFE305">
            <w:pPr>
              <w:snapToGrid w:val="0"/>
              <w:spacing w:line="600" w:lineRule="exact"/>
              <w:rPr>
                <w:rFonts w:hint="eastAsia" w:ascii="宋体" w:hAnsi="宋体" w:cs="宋体"/>
                <w:bCs/>
                <w:color w:val="auto"/>
                <w:sz w:val="24"/>
                <w:highlight w:val="none"/>
              </w:rPr>
            </w:pPr>
            <w:r>
              <w:rPr>
                <w:rFonts w:hint="eastAsia" w:ascii="宋体" w:hAnsi="宋体" w:cs="宋体"/>
                <w:bCs/>
                <w:color w:val="auto"/>
                <w:kern w:val="0"/>
                <w:sz w:val="24"/>
                <w:highlight w:val="none"/>
                <w:u w:val="none" w:color="000000"/>
              </w:rPr>
              <w:t>磋商报价</w:t>
            </w:r>
            <w:r>
              <w:rPr>
                <w:rFonts w:hint="eastAsia" w:ascii="宋体" w:hAnsi="宋体" w:cs="宋体"/>
                <w:bCs/>
                <w:color w:val="auto"/>
                <w:sz w:val="24"/>
                <w:highlight w:val="none"/>
              </w:rPr>
              <w:t xml:space="preserve">人民币大写：      元   </w:t>
            </w:r>
          </w:p>
          <w:p w14:paraId="26FFF2AA">
            <w:pPr>
              <w:snapToGrid w:val="0"/>
              <w:spacing w:line="600" w:lineRule="exact"/>
              <w:rPr>
                <w:rFonts w:hint="eastAsia" w:ascii="宋体" w:hAnsi="宋体" w:cs="宋体"/>
                <w:bCs/>
                <w:color w:val="auto"/>
                <w:sz w:val="24"/>
                <w:highlight w:val="none"/>
              </w:rPr>
            </w:pPr>
            <w:r>
              <w:rPr>
                <w:rFonts w:hint="eastAsia" w:ascii="宋体" w:hAnsi="宋体" w:cs="宋体"/>
                <w:bCs/>
                <w:color w:val="auto"/>
                <w:sz w:val="24"/>
                <w:highlight w:val="none"/>
              </w:rPr>
              <w:t xml:space="preserve">          </w:t>
            </w:r>
          </w:p>
          <w:p w14:paraId="4FDA26FB">
            <w:pPr>
              <w:snapToGrid w:val="0"/>
              <w:spacing w:line="600" w:lineRule="exact"/>
              <w:rPr>
                <w:rFonts w:hint="eastAsia" w:ascii="宋体" w:hAnsi="宋体" w:cs="宋体"/>
                <w:bCs/>
                <w:color w:val="auto"/>
                <w:sz w:val="24"/>
                <w:highlight w:val="none"/>
              </w:rPr>
            </w:pPr>
            <w:r>
              <w:rPr>
                <w:rFonts w:hint="eastAsia" w:ascii="宋体" w:hAnsi="宋体" w:cs="宋体"/>
                <w:bCs/>
                <w:color w:val="auto"/>
                <w:kern w:val="0"/>
                <w:sz w:val="24"/>
                <w:highlight w:val="none"/>
                <w:u w:val="none" w:color="000000"/>
              </w:rPr>
              <w:t>磋商报价</w:t>
            </w:r>
            <w:r>
              <w:rPr>
                <w:rFonts w:hint="eastAsia" w:ascii="宋体" w:hAnsi="宋体" w:cs="宋体"/>
                <w:bCs/>
                <w:color w:val="auto"/>
                <w:sz w:val="24"/>
                <w:highlight w:val="none"/>
              </w:rPr>
              <w:t>小写：            元</w:t>
            </w:r>
          </w:p>
        </w:tc>
      </w:tr>
      <w:tr w14:paraId="5A001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9" w:hRule="atLeast"/>
        </w:trPr>
        <w:tc>
          <w:tcPr>
            <w:tcW w:w="2633" w:type="dxa"/>
            <w:noWrap w:val="0"/>
            <w:vAlign w:val="center"/>
          </w:tcPr>
          <w:p w14:paraId="2F3F5520">
            <w:pPr>
              <w:spacing w:line="600" w:lineRule="exact"/>
              <w:jc w:val="center"/>
              <w:rPr>
                <w:rFonts w:hint="eastAsia" w:ascii="宋体" w:hAnsi="宋体" w:cs="宋体"/>
                <w:bCs/>
                <w:color w:val="auto"/>
                <w:sz w:val="24"/>
                <w:highlight w:val="none"/>
              </w:rPr>
            </w:pPr>
            <w:r>
              <w:rPr>
                <w:rFonts w:hint="eastAsia" w:ascii="宋体" w:hAnsi="宋体" w:cs="宋体"/>
                <w:bCs/>
                <w:color w:val="auto"/>
                <w:sz w:val="24"/>
                <w:highlight w:val="none"/>
              </w:rPr>
              <w:t>备注说明</w:t>
            </w:r>
          </w:p>
        </w:tc>
        <w:tc>
          <w:tcPr>
            <w:tcW w:w="6492" w:type="dxa"/>
            <w:noWrap w:val="0"/>
            <w:vAlign w:val="top"/>
          </w:tcPr>
          <w:p w14:paraId="4C8BE92E">
            <w:pPr>
              <w:spacing w:line="600" w:lineRule="exact"/>
              <w:rPr>
                <w:rFonts w:hint="eastAsia" w:ascii="宋体" w:hAnsi="宋体" w:cs="宋体"/>
                <w:bCs/>
                <w:color w:val="auto"/>
                <w:sz w:val="24"/>
                <w:highlight w:val="none"/>
              </w:rPr>
            </w:pPr>
          </w:p>
        </w:tc>
      </w:tr>
    </w:tbl>
    <w:p w14:paraId="372108BC">
      <w:pPr>
        <w:spacing w:line="440" w:lineRule="exact"/>
        <w:jc w:val="left"/>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0C66FA37">
      <w:pPr>
        <w:spacing w:line="440" w:lineRule="exact"/>
        <w:jc w:val="left"/>
        <w:rPr>
          <w:rFonts w:hint="eastAsia" w:ascii="宋体" w:hAnsi="宋体" w:cs="宋体"/>
          <w:color w:val="auto"/>
          <w:sz w:val="24"/>
          <w:highlight w:val="none"/>
        </w:rPr>
      </w:pPr>
      <w:r>
        <w:rPr>
          <w:rFonts w:hint="eastAsia" w:ascii="宋体" w:hAnsi="宋体" w:cs="宋体"/>
          <w:color w:val="auto"/>
          <w:sz w:val="24"/>
          <w:highlight w:val="none"/>
        </w:rPr>
        <w:t>供应商公章或授权代表签字：</w:t>
      </w:r>
    </w:p>
    <w:p w14:paraId="6B173809">
      <w:pPr>
        <w:snapToGrid w:val="0"/>
        <w:spacing w:line="440" w:lineRule="exact"/>
        <w:jc w:val="right"/>
        <w:rPr>
          <w:rFonts w:hint="eastAsia" w:ascii="宋体" w:hAnsi="宋体" w:cs="宋体"/>
          <w:color w:val="auto"/>
          <w:sz w:val="24"/>
          <w:highlight w:val="none"/>
        </w:rPr>
      </w:pPr>
      <w:r>
        <w:rPr>
          <w:rFonts w:hint="eastAsia" w:ascii="宋体" w:hAnsi="宋体" w:cs="宋体"/>
          <w:color w:val="auto"/>
          <w:sz w:val="24"/>
          <w:highlight w:val="none"/>
        </w:rPr>
        <w:t>年  月  日</w:t>
      </w:r>
    </w:p>
    <w:p w14:paraId="587A1479">
      <w:pPr>
        <w:spacing w:line="440" w:lineRule="exact"/>
        <w:rPr>
          <w:rFonts w:hint="eastAsia" w:ascii="宋体" w:hAnsi="宋体" w:cs="宋体"/>
          <w:color w:val="auto"/>
          <w:sz w:val="24"/>
          <w:highlight w:val="none"/>
        </w:rPr>
      </w:pPr>
    </w:p>
    <w:p w14:paraId="35D04E98">
      <w:pPr>
        <w:spacing w:line="440" w:lineRule="exact"/>
        <w:rPr>
          <w:rFonts w:hint="eastAsia" w:ascii="宋体" w:hAnsi="宋体" w:cs="宋体"/>
          <w:color w:val="auto"/>
          <w:sz w:val="24"/>
          <w:highlight w:val="none"/>
        </w:rPr>
      </w:pPr>
      <w:r>
        <w:rPr>
          <w:rFonts w:hint="eastAsia" w:ascii="宋体" w:hAnsi="宋体" w:cs="宋体"/>
          <w:color w:val="auto"/>
          <w:sz w:val="24"/>
          <w:highlight w:val="none"/>
        </w:rPr>
        <w:t>注：本页《最终承诺报价表》由供应商在</w:t>
      </w:r>
      <w:r>
        <w:rPr>
          <w:rFonts w:hint="eastAsia" w:ascii="宋体" w:hAnsi="宋体" w:cs="宋体"/>
          <w:color w:val="auto"/>
          <w:sz w:val="24"/>
          <w:szCs w:val="28"/>
          <w:highlight w:val="none"/>
        </w:rPr>
        <w:t>磋商</w:t>
      </w:r>
      <w:r>
        <w:rPr>
          <w:rFonts w:hint="eastAsia" w:ascii="宋体" w:hAnsi="宋体" w:cs="宋体"/>
          <w:color w:val="auto"/>
          <w:sz w:val="24"/>
          <w:highlight w:val="none"/>
        </w:rPr>
        <w:t>现场依</w:t>
      </w:r>
      <w:r>
        <w:rPr>
          <w:rFonts w:hint="eastAsia" w:ascii="宋体" w:hAnsi="宋体" w:cs="宋体"/>
          <w:color w:val="auto"/>
          <w:sz w:val="24"/>
          <w:szCs w:val="28"/>
          <w:highlight w:val="none"/>
        </w:rPr>
        <w:t>磋商</w:t>
      </w:r>
      <w:r>
        <w:rPr>
          <w:rFonts w:hint="eastAsia" w:ascii="宋体" w:hAnsi="宋体" w:cs="宋体"/>
          <w:color w:val="auto"/>
          <w:sz w:val="24"/>
          <w:highlight w:val="none"/>
        </w:rPr>
        <w:t>情况填写，请加盖公章后带至</w:t>
      </w:r>
      <w:r>
        <w:rPr>
          <w:rFonts w:hint="eastAsia" w:ascii="宋体" w:hAnsi="宋体" w:cs="宋体"/>
          <w:color w:val="auto"/>
          <w:sz w:val="24"/>
          <w:szCs w:val="28"/>
          <w:highlight w:val="none"/>
        </w:rPr>
        <w:t>磋商</w:t>
      </w:r>
      <w:r>
        <w:rPr>
          <w:rFonts w:hint="eastAsia" w:ascii="宋体" w:hAnsi="宋体" w:cs="宋体"/>
          <w:color w:val="auto"/>
          <w:sz w:val="24"/>
          <w:highlight w:val="none"/>
        </w:rPr>
        <w:t>现场备填。</w:t>
      </w:r>
    </w:p>
    <w:p w14:paraId="366CC87D">
      <w:pPr>
        <w:spacing w:line="440" w:lineRule="exact"/>
        <w:rPr>
          <w:rFonts w:hint="eastAsia" w:ascii="宋体" w:hAnsi="宋体" w:cs="宋体"/>
          <w:color w:val="auto"/>
          <w:sz w:val="24"/>
          <w:highlight w:val="none"/>
        </w:rPr>
      </w:pPr>
      <w:r>
        <w:rPr>
          <w:rFonts w:hint="eastAsia" w:ascii="宋体" w:hAnsi="宋体" w:cs="宋体"/>
          <w:color w:val="auto"/>
          <w:sz w:val="24"/>
          <w:highlight w:val="none"/>
        </w:rPr>
        <w:t>声明：我方在报价前，已认真阅读《竞争性磋商文件》，理解并完全响应文本中所有实质性要求。</w:t>
      </w:r>
    </w:p>
    <w:bookmarkEnd w:id="174"/>
    <w:bookmarkEnd w:id="175"/>
    <w:bookmarkEnd w:id="176"/>
    <w:p w14:paraId="1CFFA7CA">
      <w:pPr>
        <w:pStyle w:val="5"/>
        <w:pageBreakBefore/>
        <w:spacing w:before="156" w:beforeLines="50" w:after="156" w:afterLines="50" w:line="44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七、</w:t>
      </w:r>
      <w:r>
        <w:rPr>
          <w:rFonts w:hint="eastAsia" w:ascii="宋体" w:hAnsi="宋体" w:cs="宋体"/>
          <w:b/>
          <w:color w:val="auto"/>
          <w:sz w:val="32"/>
          <w:szCs w:val="32"/>
          <w:highlight w:val="none"/>
        </w:rPr>
        <w:fldChar w:fldCharType="begin"/>
      </w:r>
      <w:r>
        <w:rPr>
          <w:rFonts w:hint="eastAsia" w:ascii="宋体" w:hAnsi="宋体" w:cs="宋体"/>
          <w:b/>
          <w:color w:val="auto"/>
          <w:sz w:val="32"/>
          <w:szCs w:val="32"/>
          <w:highlight w:val="none"/>
        </w:rPr>
        <w:instrText xml:space="preserve"> HYPERLINK  \l "_八、南京路泉河桥方案设计主要内容和技术要求" </w:instrText>
      </w:r>
      <w:r>
        <w:rPr>
          <w:rFonts w:hint="eastAsia" w:ascii="宋体" w:hAnsi="宋体" w:cs="宋体"/>
          <w:b/>
          <w:color w:val="auto"/>
          <w:sz w:val="32"/>
          <w:szCs w:val="32"/>
          <w:highlight w:val="none"/>
        </w:rPr>
        <w:fldChar w:fldCharType="separate"/>
      </w:r>
      <w:bookmarkStart w:id="177" w:name="_Toc142910967"/>
      <w:bookmarkStart w:id="178" w:name="_Toc125869596"/>
      <w:r>
        <w:rPr>
          <w:rFonts w:hint="eastAsia" w:ascii="宋体" w:hAnsi="宋体" w:cs="宋体"/>
          <w:b/>
          <w:color w:val="auto"/>
          <w:sz w:val="32"/>
          <w:szCs w:val="32"/>
          <w:highlight w:val="none"/>
        </w:rPr>
        <w:t>采购人、采购代理机构对本竞争性磋商文件的</w:t>
      </w:r>
      <w:bookmarkEnd w:id="177"/>
      <w:bookmarkEnd w:id="178"/>
      <w:r>
        <w:rPr>
          <w:rFonts w:hint="eastAsia" w:ascii="宋体" w:hAnsi="宋体" w:cs="宋体"/>
          <w:b/>
          <w:color w:val="auto"/>
          <w:sz w:val="32"/>
          <w:szCs w:val="32"/>
          <w:highlight w:val="none"/>
        </w:rPr>
        <w:t>确</w:t>
      </w:r>
      <w:r>
        <w:rPr>
          <w:rFonts w:hint="eastAsia" w:ascii="宋体" w:hAnsi="宋体" w:cs="宋体"/>
          <w:b/>
          <w:color w:val="auto"/>
          <w:sz w:val="32"/>
          <w:szCs w:val="32"/>
          <w:highlight w:val="none"/>
        </w:rPr>
        <w:fldChar w:fldCharType="end"/>
      </w:r>
      <w:r>
        <w:rPr>
          <w:rFonts w:hint="eastAsia" w:ascii="宋体" w:hAnsi="宋体" w:cs="宋体"/>
          <w:b/>
          <w:color w:val="auto"/>
          <w:sz w:val="32"/>
          <w:szCs w:val="32"/>
          <w:highlight w:val="none"/>
        </w:rPr>
        <w:t>认</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4" w:type="dxa"/>
          <w:left w:w="108" w:type="dxa"/>
          <w:bottom w:w="284" w:type="dxa"/>
          <w:right w:w="108" w:type="dxa"/>
        </w:tblCellMar>
      </w:tblPr>
      <w:tblGrid>
        <w:gridCol w:w="9500"/>
      </w:tblGrid>
      <w:tr w14:paraId="3E17A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4" w:type="dxa"/>
            <w:left w:w="108" w:type="dxa"/>
            <w:bottom w:w="284" w:type="dxa"/>
            <w:right w:w="108" w:type="dxa"/>
          </w:tblCellMar>
        </w:tblPrEx>
        <w:trPr>
          <w:trHeight w:val="90" w:hRule="atLeast"/>
          <w:jc w:val="center"/>
        </w:trPr>
        <w:tc>
          <w:tcPr>
            <w:tcW w:w="9500" w:type="dxa"/>
            <w:noWrap w:val="0"/>
            <w:vAlign w:val="top"/>
          </w:tcPr>
          <w:p w14:paraId="03F17239">
            <w:pPr>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     我单位对</w:t>
            </w:r>
            <w:r>
              <w:rPr>
                <w:rFonts w:hint="eastAsia" w:ascii="宋体" w:hAnsi="宋体" w:cs="宋体"/>
                <w:color w:val="auto"/>
                <w:sz w:val="28"/>
                <w:szCs w:val="28"/>
                <w:highlight w:val="none"/>
                <w:u w:val="single"/>
                <w:lang w:eastAsia="zh-CN"/>
              </w:rPr>
              <w:t>滁州学院档案数字化服务项目（三期）及基建档案整理</w:t>
            </w:r>
            <w:r>
              <w:rPr>
                <w:rFonts w:hint="eastAsia" w:ascii="宋体" w:hAnsi="宋体" w:cs="宋体"/>
                <w:color w:val="auto"/>
                <w:sz w:val="28"/>
                <w:szCs w:val="28"/>
                <w:highlight w:val="none"/>
              </w:rPr>
              <w:t>的竞争性磋商文件进行确认。</w:t>
            </w:r>
          </w:p>
          <w:p w14:paraId="17AE1216">
            <w:pPr>
              <w:spacing w:line="800" w:lineRule="exact"/>
              <w:ind w:firstLine="700" w:firstLineChars="250"/>
              <w:rPr>
                <w:rFonts w:hint="eastAsia" w:ascii="宋体" w:hAnsi="宋体" w:cs="宋体"/>
                <w:color w:val="auto"/>
                <w:sz w:val="28"/>
                <w:szCs w:val="28"/>
                <w:highlight w:val="none"/>
              </w:rPr>
            </w:pPr>
            <w:r>
              <w:rPr>
                <w:rFonts w:hint="eastAsia" w:ascii="宋体" w:hAnsi="宋体" w:cs="宋体"/>
                <w:color w:val="auto"/>
                <w:sz w:val="28"/>
                <w:szCs w:val="28"/>
                <w:highlight w:val="none"/>
              </w:rPr>
              <w:t>采购单位：滁州学院资产与实验室管理处</w:t>
            </w:r>
          </w:p>
          <w:p w14:paraId="218586D7">
            <w:pPr>
              <w:spacing w:line="800" w:lineRule="exact"/>
              <w:ind w:firstLine="700" w:firstLineChars="250"/>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采购联系人：陈老师、</w:t>
            </w:r>
            <w:r>
              <w:rPr>
                <w:rFonts w:hint="eastAsia" w:ascii="宋体" w:hAnsi="宋体" w:cs="宋体"/>
                <w:color w:val="auto"/>
                <w:kern w:val="0"/>
                <w:sz w:val="28"/>
                <w:szCs w:val="28"/>
                <w:highlight w:val="none"/>
                <w:lang w:eastAsia="zh-CN"/>
              </w:rPr>
              <w:t>王</w:t>
            </w:r>
            <w:r>
              <w:rPr>
                <w:rFonts w:hint="eastAsia" w:ascii="宋体" w:hAnsi="宋体" w:cs="宋体"/>
                <w:color w:val="auto"/>
                <w:kern w:val="0"/>
                <w:sz w:val="28"/>
                <w:szCs w:val="28"/>
                <w:highlight w:val="none"/>
              </w:rPr>
              <w:t>老师</w:t>
            </w:r>
          </w:p>
          <w:p w14:paraId="187BC7E6">
            <w:pPr>
              <w:spacing w:line="800" w:lineRule="exact"/>
              <w:ind w:firstLine="700" w:firstLineChars="250"/>
              <w:rPr>
                <w:rFonts w:hint="eastAsia" w:ascii="宋体" w:hAnsi="宋体" w:cs="宋体"/>
                <w:color w:val="auto"/>
                <w:kern w:val="0"/>
                <w:sz w:val="28"/>
                <w:szCs w:val="28"/>
                <w:highlight w:val="none"/>
              </w:rPr>
            </w:pPr>
            <w:r>
              <w:rPr>
                <w:rFonts w:hint="eastAsia" w:ascii="宋体" w:hAnsi="宋体" w:cs="宋体"/>
                <w:color w:val="auto"/>
                <w:sz w:val="28"/>
                <w:szCs w:val="20"/>
                <w:highlight w:val="none"/>
              </w:rPr>
              <w:t>联系</w:t>
            </w:r>
            <w:r>
              <w:rPr>
                <w:rFonts w:hint="eastAsia" w:ascii="宋体" w:hAnsi="宋体" w:cs="宋体"/>
                <w:color w:val="auto"/>
                <w:kern w:val="0"/>
                <w:sz w:val="28"/>
                <w:szCs w:val="28"/>
                <w:highlight w:val="none"/>
              </w:rPr>
              <w:t>电话：0550-3512003、15855097225</w:t>
            </w:r>
          </w:p>
          <w:p w14:paraId="6B247C62">
            <w:pPr>
              <w:spacing w:line="800" w:lineRule="exact"/>
              <w:ind w:firstLine="700" w:firstLineChars="250"/>
              <w:rPr>
                <w:rFonts w:hint="eastAsia" w:ascii="宋体" w:hAnsi="宋体" w:cs="宋体"/>
                <w:color w:val="auto"/>
                <w:sz w:val="28"/>
                <w:szCs w:val="28"/>
                <w:highlight w:val="none"/>
              </w:rPr>
            </w:pPr>
            <w:r>
              <w:rPr>
                <w:rFonts w:hint="eastAsia" w:ascii="宋体" w:hAnsi="宋体" w:cs="宋体"/>
                <w:color w:val="auto"/>
                <w:kern w:val="0"/>
                <w:sz w:val="28"/>
                <w:szCs w:val="28"/>
                <w:highlight w:val="none"/>
              </w:rPr>
              <w:t xml:space="preserve"> </w:t>
            </w:r>
            <w:r>
              <w:rPr>
                <w:rFonts w:hint="eastAsia" w:ascii="宋体" w:hAnsi="宋体" w:cs="宋体"/>
                <w:color w:val="auto"/>
                <w:sz w:val="28"/>
                <w:szCs w:val="28"/>
                <w:highlight w:val="none"/>
              </w:rPr>
              <w:t xml:space="preserve">                                          </w:t>
            </w:r>
          </w:p>
          <w:p w14:paraId="46D828EB">
            <w:pPr>
              <w:spacing w:line="400" w:lineRule="exact"/>
              <w:ind w:right="560" w:firstLine="700" w:firstLineChars="250"/>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                                                                                    </w:t>
            </w:r>
          </w:p>
          <w:p w14:paraId="43D6FDCD">
            <w:pPr>
              <w:spacing w:line="400" w:lineRule="exact"/>
              <w:ind w:right="560"/>
              <w:rPr>
                <w:rFonts w:hint="eastAsia" w:ascii="宋体" w:hAnsi="宋体" w:cs="宋体"/>
                <w:color w:val="auto"/>
                <w:sz w:val="28"/>
                <w:szCs w:val="28"/>
                <w:highlight w:val="none"/>
              </w:rPr>
            </w:pPr>
          </w:p>
          <w:p w14:paraId="2408A87C">
            <w:pPr>
              <w:spacing w:line="400" w:lineRule="exact"/>
              <w:ind w:right="560" w:firstLine="700" w:firstLineChars="250"/>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                                           （单位盖章）</w:t>
            </w:r>
          </w:p>
          <w:p w14:paraId="080A50E3">
            <w:pPr>
              <w:spacing w:line="400" w:lineRule="exact"/>
              <w:ind w:right="560" w:firstLine="700" w:firstLineChars="250"/>
              <w:jc w:val="center"/>
              <w:rPr>
                <w:rFonts w:hint="eastAsia" w:ascii="宋体" w:hAnsi="宋体" w:cs="宋体"/>
                <w:color w:val="auto"/>
                <w:sz w:val="28"/>
                <w:szCs w:val="28"/>
                <w:highlight w:val="none"/>
              </w:rPr>
            </w:pPr>
          </w:p>
          <w:p w14:paraId="18DFA30E">
            <w:pPr>
              <w:tabs>
                <w:tab w:val="left" w:pos="5941"/>
              </w:tabs>
              <w:wordWrap w:val="0"/>
              <w:spacing w:line="400" w:lineRule="exact"/>
              <w:ind w:right="820"/>
              <w:jc w:val="right"/>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 2024年</w:t>
            </w:r>
            <w:r>
              <w:rPr>
                <w:rFonts w:hint="eastAsia" w:ascii="宋体" w:hAnsi="宋体" w:cs="宋体"/>
                <w:color w:val="auto"/>
                <w:sz w:val="28"/>
                <w:szCs w:val="28"/>
                <w:highlight w:val="none"/>
                <w:lang w:val="en-US" w:eastAsia="zh-CN"/>
              </w:rPr>
              <w:t>8</w:t>
            </w:r>
            <w:r>
              <w:rPr>
                <w:rFonts w:hint="eastAsia" w:ascii="宋体" w:hAnsi="宋体" w:cs="宋体"/>
                <w:color w:val="auto"/>
                <w:sz w:val="28"/>
                <w:szCs w:val="28"/>
                <w:highlight w:val="none"/>
              </w:rPr>
              <w:t>月</w:t>
            </w:r>
          </w:p>
        </w:tc>
      </w:tr>
      <w:tr w14:paraId="230DC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4" w:type="dxa"/>
            <w:left w:w="108" w:type="dxa"/>
            <w:bottom w:w="284" w:type="dxa"/>
            <w:right w:w="108" w:type="dxa"/>
          </w:tblCellMar>
        </w:tblPrEx>
        <w:trPr>
          <w:trHeight w:val="4716" w:hRule="atLeast"/>
          <w:jc w:val="center"/>
        </w:trPr>
        <w:tc>
          <w:tcPr>
            <w:tcW w:w="9500" w:type="dxa"/>
            <w:noWrap w:val="0"/>
            <w:vAlign w:val="top"/>
          </w:tcPr>
          <w:p w14:paraId="2DBBFAF6">
            <w:pPr>
              <w:spacing w:line="560" w:lineRule="exact"/>
              <w:ind w:firstLine="560" w:firstLineChars="200"/>
              <w:rPr>
                <w:rFonts w:hint="eastAsia" w:ascii="宋体" w:hAnsi="宋体" w:cs="宋体"/>
                <w:color w:val="auto"/>
                <w:sz w:val="28"/>
                <w:szCs w:val="20"/>
                <w:highlight w:val="none"/>
              </w:rPr>
            </w:pPr>
            <w:r>
              <w:rPr>
                <w:rFonts w:hint="eastAsia" w:ascii="宋体" w:hAnsi="宋体" w:cs="宋体"/>
                <w:color w:val="auto"/>
                <w:sz w:val="28"/>
                <w:szCs w:val="20"/>
                <w:highlight w:val="none"/>
              </w:rPr>
              <w:t>采购代理机构：安徽立地工程咨询有限公司</w:t>
            </w:r>
          </w:p>
          <w:p w14:paraId="6BCDA7F8">
            <w:pPr>
              <w:spacing w:line="560" w:lineRule="exact"/>
              <w:ind w:firstLine="560" w:firstLineChars="200"/>
              <w:rPr>
                <w:rFonts w:hint="eastAsia" w:ascii="宋体" w:hAnsi="宋体" w:cs="宋体"/>
                <w:color w:val="auto"/>
                <w:sz w:val="28"/>
                <w:szCs w:val="20"/>
                <w:highlight w:val="none"/>
              </w:rPr>
            </w:pPr>
            <w:r>
              <w:rPr>
                <w:rFonts w:hint="eastAsia" w:ascii="宋体" w:hAnsi="宋体" w:cs="宋体"/>
                <w:color w:val="auto"/>
                <w:sz w:val="28"/>
                <w:szCs w:val="20"/>
                <w:highlight w:val="none"/>
              </w:rPr>
              <w:t>经办人：全晨曦</w:t>
            </w:r>
          </w:p>
          <w:p w14:paraId="4EABBA0F">
            <w:pPr>
              <w:spacing w:line="560" w:lineRule="exact"/>
              <w:ind w:firstLine="560" w:firstLineChars="200"/>
              <w:rPr>
                <w:rFonts w:hint="eastAsia" w:ascii="宋体" w:hAnsi="宋体" w:cs="宋体"/>
                <w:color w:val="auto"/>
                <w:sz w:val="28"/>
                <w:szCs w:val="20"/>
                <w:highlight w:val="none"/>
              </w:rPr>
            </w:pPr>
            <w:r>
              <w:rPr>
                <w:rFonts w:hint="eastAsia" w:ascii="宋体" w:hAnsi="宋体" w:cs="宋体"/>
                <w:color w:val="auto"/>
                <w:sz w:val="28"/>
                <w:szCs w:val="20"/>
                <w:highlight w:val="none"/>
              </w:rPr>
              <w:t>联系电话：18075270227、13965950189</w:t>
            </w:r>
          </w:p>
          <w:p w14:paraId="41259E6D">
            <w:pPr>
              <w:spacing w:line="440" w:lineRule="exact"/>
              <w:ind w:firstLine="560" w:firstLineChars="200"/>
              <w:rPr>
                <w:rFonts w:hint="eastAsia" w:ascii="宋体" w:hAnsi="宋体" w:cs="宋体"/>
                <w:color w:val="auto"/>
                <w:sz w:val="28"/>
                <w:szCs w:val="28"/>
                <w:highlight w:val="none"/>
              </w:rPr>
            </w:pPr>
          </w:p>
          <w:p w14:paraId="1D8EBDFB">
            <w:pPr>
              <w:spacing w:line="440" w:lineRule="exact"/>
              <w:ind w:firstLine="560" w:firstLineChars="200"/>
              <w:rPr>
                <w:rFonts w:hint="eastAsia" w:ascii="宋体" w:hAnsi="宋体" w:cs="宋体"/>
                <w:color w:val="auto"/>
                <w:sz w:val="28"/>
                <w:szCs w:val="28"/>
                <w:highlight w:val="none"/>
              </w:rPr>
            </w:pPr>
          </w:p>
          <w:p w14:paraId="01D92ADF">
            <w:pPr>
              <w:spacing w:line="440" w:lineRule="exact"/>
              <w:ind w:firstLine="560" w:firstLineChars="200"/>
              <w:rPr>
                <w:rFonts w:hint="eastAsia" w:ascii="宋体" w:hAnsi="宋体" w:cs="宋体"/>
                <w:color w:val="auto"/>
                <w:sz w:val="28"/>
                <w:szCs w:val="28"/>
                <w:highlight w:val="none"/>
              </w:rPr>
            </w:pPr>
          </w:p>
          <w:p w14:paraId="21B53D28">
            <w:pPr>
              <w:spacing w:line="440" w:lineRule="exact"/>
              <w:ind w:firstLine="7140" w:firstLineChars="2550"/>
              <w:rPr>
                <w:rFonts w:hint="eastAsia" w:ascii="宋体" w:hAnsi="宋体" w:cs="宋体"/>
                <w:color w:val="auto"/>
                <w:sz w:val="28"/>
                <w:szCs w:val="28"/>
                <w:highlight w:val="none"/>
              </w:rPr>
            </w:pPr>
            <w:r>
              <w:rPr>
                <w:rFonts w:hint="eastAsia" w:ascii="宋体" w:hAnsi="宋体" w:cs="宋体"/>
                <w:color w:val="auto"/>
                <w:sz w:val="28"/>
                <w:szCs w:val="28"/>
                <w:highlight w:val="none"/>
              </w:rPr>
              <w:t>（单位盖章）</w:t>
            </w:r>
          </w:p>
          <w:p w14:paraId="75C59D67">
            <w:pPr>
              <w:spacing w:line="440" w:lineRule="exact"/>
              <w:ind w:firstLine="6300" w:firstLineChars="2250"/>
              <w:rPr>
                <w:rFonts w:hint="eastAsia" w:ascii="宋体" w:hAnsi="宋体" w:cs="宋体"/>
                <w:color w:val="auto"/>
                <w:sz w:val="28"/>
                <w:szCs w:val="28"/>
                <w:highlight w:val="none"/>
              </w:rPr>
            </w:pPr>
          </w:p>
          <w:p w14:paraId="4DB47758">
            <w:pPr>
              <w:spacing w:line="440" w:lineRule="exact"/>
              <w:ind w:firstLine="7140" w:firstLineChars="2550"/>
              <w:rPr>
                <w:rFonts w:hint="eastAsia" w:ascii="宋体" w:hAnsi="宋体" w:cs="宋体"/>
                <w:color w:val="auto"/>
                <w:sz w:val="28"/>
                <w:szCs w:val="28"/>
                <w:highlight w:val="none"/>
              </w:rPr>
            </w:pPr>
            <w:r>
              <w:rPr>
                <w:rFonts w:hint="eastAsia" w:ascii="宋体" w:hAnsi="宋体" w:cs="宋体"/>
                <w:color w:val="auto"/>
                <w:sz w:val="28"/>
                <w:szCs w:val="28"/>
                <w:highlight w:val="none"/>
              </w:rPr>
              <w:t>2024年</w:t>
            </w:r>
            <w:r>
              <w:rPr>
                <w:rFonts w:hint="eastAsia" w:ascii="宋体" w:hAnsi="宋体" w:cs="宋体"/>
                <w:color w:val="auto"/>
                <w:sz w:val="28"/>
                <w:szCs w:val="28"/>
                <w:highlight w:val="none"/>
                <w:lang w:val="en-US" w:eastAsia="zh-CN"/>
              </w:rPr>
              <w:t>8</w:t>
            </w:r>
            <w:r>
              <w:rPr>
                <w:rFonts w:hint="eastAsia" w:ascii="宋体" w:hAnsi="宋体" w:cs="宋体"/>
                <w:color w:val="auto"/>
                <w:sz w:val="28"/>
                <w:szCs w:val="28"/>
                <w:highlight w:val="none"/>
              </w:rPr>
              <w:t>月</w:t>
            </w:r>
          </w:p>
          <w:p w14:paraId="3B490DC4">
            <w:pPr>
              <w:spacing w:line="440" w:lineRule="exact"/>
              <w:ind w:firstLine="6300" w:firstLineChars="2250"/>
              <w:rPr>
                <w:rFonts w:hint="eastAsia" w:ascii="宋体" w:hAnsi="宋体" w:cs="宋体"/>
                <w:color w:val="auto"/>
                <w:sz w:val="28"/>
                <w:szCs w:val="28"/>
                <w:highlight w:val="none"/>
              </w:rPr>
            </w:pPr>
          </w:p>
          <w:p w14:paraId="7B2D5CD3">
            <w:pPr>
              <w:wordWrap w:val="0"/>
              <w:spacing w:line="400" w:lineRule="exact"/>
              <w:ind w:right="980"/>
              <w:jc w:val="right"/>
              <w:rPr>
                <w:rFonts w:hint="eastAsia" w:ascii="宋体" w:hAnsi="宋体" w:cs="宋体"/>
                <w:color w:val="auto"/>
                <w:sz w:val="28"/>
                <w:szCs w:val="28"/>
                <w:highlight w:val="none"/>
              </w:rPr>
            </w:pPr>
          </w:p>
        </w:tc>
      </w:tr>
    </w:tbl>
    <w:p w14:paraId="7BCBD287">
      <w:pPr>
        <w:pStyle w:val="25"/>
        <w:rPr>
          <w:rFonts w:hint="eastAsia" w:ascii="宋体" w:hAnsi="宋体" w:eastAsia="宋体" w:cs="宋体"/>
          <w:b/>
          <w:color w:val="auto"/>
          <w:sz w:val="32"/>
          <w:highlight w:val="none"/>
        </w:rPr>
      </w:pPr>
    </w:p>
    <w:sectPr>
      <w:pgSz w:w="11906" w:h="16838"/>
      <w:pgMar w:top="1134" w:right="1417" w:bottom="1134" w:left="1417" w:header="283" w:footer="680"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Times">
    <w:altName w:val="Times New Roman"/>
    <w:panose1 w:val="02020603050405020304"/>
    <w:charset w:val="00"/>
    <w:family w:val="roman"/>
    <w:pitch w:val="default"/>
    <w:sig w:usb0="00000000" w:usb1="00000000" w:usb2="00000009" w:usb3="00000000" w:csb0="000001FF" w:csb1="00000000"/>
  </w:font>
  <w:font w:name="Wingdings 2">
    <w:altName w:val="Wingdings"/>
    <w:panose1 w:val="05020102010507070707"/>
    <w:charset w:val="02"/>
    <w:family w:val="roman"/>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003A6">
    <w:pPr>
      <w:pStyle w:val="22"/>
      <w:tabs>
        <w:tab w:val="clear" w:pos="4153"/>
      </w:tabs>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033145" cy="140970"/>
              <wp:effectExtent l="0" t="0" r="0" b="0"/>
              <wp:wrapNone/>
              <wp:docPr id="4" name="文本框 10"/>
              <wp:cNvGraphicFramePr/>
              <a:graphic xmlns:a="http://schemas.openxmlformats.org/drawingml/2006/main">
                <a:graphicData uri="http://schemas.microsoft.com/office/word/2010/wordprocessingShape">
                  <wps:wsp>
                    <wps:cNvSpPr txBox="1"/>
                    <wps:spPr>
                      <a:xfrm>
                        <a:off x="0" y="0"/>
                        <a:ext cx="1033145" cy="140970"/>
                      </a:xfrm>
                      <a:prstGeom prst="rect">
                        <a:avLst/>
                      </a:prstGeom>
                      <a:noFill/>
                      <a:ln>
                        <a:noFill/>
                      </a:ln>
                    </wps:spPr>
                    <wps:txbx>
                      <w:txbxContent>
                        <w:p w14:paraId="2890CC43">
                          <w:pPr>
                            <w:pStyle w:val="22"/>
                            <w:rPr>
                              <w:rFonts w:hint="eastAsia" w:ascii="黑体" w:hAnsi="黑体" w:eastAsia="黑体" w:cs="黑体"/>
                              <w:b/>
                              <w:bCs/>
                            </w:rPr>
                          </w:pPr>
                          <w:r>
                            <w:rPr>
                              <w:rFonts w:hint="eastAsia" w:ascii="黑体" w:hAnsi="黑体" w:eastAsia="黑体" w:cs="黑体"/>
                              <w:b/>
                              <w:bCs/>
                            </w:rPr>
                            <w:t xml:space="preserve">第 </w:t>
                          </w:r>
                          <w:r>
                            <w:rPr>
                              <w:rFonts w:hint="eastAsia" w:ascii="黑体" w:hAnsi="黑体" w:eastAsia="黑体" w:cs="黑体"/>
                              <w:b/>
                              <w:bCs/>
                            </w:rPr>
                            <w:fldChar w:fldCharType="begin"/>
                          </w:r>
                          <w:r>
                            <w:rPr>
                              <w:rFonts w:hint="eastAsia" w:ascii="黑体" w:hAnsi="黑体" w:eastAsia="黑体" w:cs="黑体"/>
                              <w:b/>
                              <w:bCs/>
                            </w:rPr>
                            <w:instrText xml:space="preserve"> PAGE  \* MERGEFORMAT </w:instrText>
                          </w:r>
                          <w:r>
                            <w:rPr>
                              <w:rFonts w:hint="eastAsia" w:ascii="黑体" w:hAnsi="黑体" w:eastAsia="黑体" w:cs="黑体"/>
                              <w:b/>
                              <w:bCs/>
                            </w:rPr>
                            <w:fldChar w:fldCharType="separate"/>
                          </w:r>
                          <w:r>
                            <w:rPr>
                              <w:rFonts w:hint="eastAsia" w:ascii="黑体" w:hAnsi="黑体" w:eastAsia="黑体" w:cs="黑体"/>
                              <w:b/>
                              <w:bCs/>
                            </w:rPr>
                            <w:t>1</w:t>
                          </w:r>
                          <w:r>
                            <w:rPr>
                              <w:rFonts w:hint="eastAsia" w:ascii="黑体" w:hAnsi="黑体" w:eastAsia="黑体" w:cs="黑体"/>
                              <w:b/>
                              <w:bCs/>
                            </w:rPr>
                            <w:fldChar w:fldCharType="end"/>
                          </w:r>
                          <w:r>
                            <w:rPr>
                              <w:rFonts w:hint="eastAsia" w:ascii="黑体" w:hAnsi="黑体" w:eastAsia="黑体" w:cs="黑体"/>
                              <w:b/>
                              <w:bCs/>
                            </w:rPr>
                            <w:t xml:space="preserve"> 页 共 </w:t>
                          </w:r>
                          <w:r>
                            <w:rPr>
                              <w:rFonts w:hint="eastAsia" w:ascii="黑体" w:hAnsi="黑体" w:eastAsia="黑体" w:cs="黑体"/>
                              <w:b/>
                              <w:bCs/>
                            </w:rPr>
                            <w:fldChar w:fldCharType="begin"/>
                          </w:r>
                          <w:r>
                            <w:rPr>
                              <w:rFonts w:hint="eastAsia" w:ascii="黑体" w:hAnsi="黑体" w:eastAsia="黑体" w:cs="黑体"/>
                              <w:b/>
                              <w:bCs/>
                            </w:rPr>
                            <w:instrText xml:space="preserve"> NUMPAGES  \* MERGEFORMAT </w:instrText>
                          </w:r>
                          <w:r>
                            <w:rPr>
                              <w:rFonts w:hint="eastAsia" w:ascii="黑体" w:hAnsi="黑体" w:eastAsia="黑体" w:cs="黑体"/>
                              <w:b/>
                              <w:bCs/>
                            </w:rPr>
                            <w:fldChar w:fldCharType="separate"/>
                          </w:r>
                          <w:r>
                            <w:rPr>
                              <w:rFonts w:hint="eastAsia" w:ascii="黑体" w:hAnsi="黑体" w:eastAsia="黑体" w:cs="黑体"/>
                              <w:b/>
                              <w:bCs/>
                            </w:rPr>
                            <w:t>53</w:t>
                          </w:r>
                          <w:r>
                            <w:rPr>
                              <w:rFonts w:hint="eastAsia" w:ascii="黑体" w:hAnsi="黑体" w:eastAsia="黑体" w:cs="黑体"/>
                              <w:b/>
                              <w:bCs/>
                            </w:rPr>
                            <w:fldChar w:fldCharType="end"/>
                          </w:r>
                          <w:r>
                            <w:rPr>
                              <w:rFonts w:hint="eastAsia" w:ascii="黑体" w:hAnsi="黑体" w:eastAsia="黑体" w:cs="黑体"/>
                              <w:b/>
                              <w:bCs/>
                            </w:rPr>
                            <w:t xml:space="preserve"> 页</w:t>
                          </w:r>
                        </w:p>
                      </w:txbxContent>
                    </wps:txbx>
                    <wps:bodyPr lIns="0" tIns="0" rIns="0" bIns="0" upright="0"/>
                  </wps:wsp>
                </a:graphicData>
              </a:graphic>
            </wp:anchor>
          </w:drawing>
        </mc:Choice>
        <mc:Fallback>
          <w:pict>
            <v:shape id="文本框 10" o:spid="_x0000_s1026" o:spt="202" type="#_x0000_t202" style="position:absolute;left:0pt;margin-top:0pt;height:11.1pt;width:81.35pt;mso-position-horizontal:center;mso-position-horizontal-relative:margin;z-index:251662336;mso-width-relative:page;mso-height-relative:page;" filled="f" stroked="f" coordsize="21600,21600" o:gfxdata="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AFRdM1AAAAAQBAAAPAAAAAAAAAAEAIAAAACIAAABkcnMvZG93bnJldi54bWxQSwECFAAU&#10;AAAACACHTuJAEP2wlbwBAABzAwAADgAAAAAAAAABACAAAAAjAQAAZHJzL2Uyb0RvYy54bWxQSwUG&#10;AAAAAAYABgBZAQAAUQUAAAAA&#10;">
              <v:fill on="f" focussize="0,0"/>
              <v:stroke on="f"/>
              <v:imagedata o:title=""/>
              <o:lock v:ext="edit" aspectratio="f"/>
              <v:textbox inset="0mm,0mm,0mm,0mm">
                <w:txbxContent>
                  <w:p w14:paraId="2890CC43">
                    <w:pPr>
                      <w:pStyle w:val="22"/>
                      <w:rPr>
                        <w:rFonts w:hint="eastAsia" w:ascii="黑体" w:hAnsi="黑体" w:eastAsia="黑体" w:cs="黑体"/>
                        <w:b/>
                        <w:bCs/>
                      </w:rPr>
                    </w:pPr>
                    <w:r>
                      <w:rPr>
                        <w:rFonts w:hint="eastAsia" w:ascii="黑体" w:hAnsi="黑体" w:eastAsia="黑体" w:cs="黑体"/>
                        <w:b/>
                        <w:bCs/>
                      </w:rPr>
                      <w:t xml:space="preserve">第 </w:t>
                    </w:r>
                    <w:r>
                      <w:rPr>
                        <w:rFonts w:hint="eastAsia" w:ascii="黑体" w:hAnsi="黑体" w:eastAsia="黑体" w:cs="黑体"/>
                        <w:b/>
                        <w:bCs/>
                      </w:rPr>
                      <w:fldChar w:fldCharType="begin"/>
                    </w:r>
                    <w:r>
                      <w:rPr>
                        <w:rFonts w:hint="eastAsia" w:ascii="黑体" w:hAnsi="黑体" w:eastAsia="黑体" w:cs="黑体"/>
                        <w:b/>
                        <w:bCs/>
                      </w:rPr>
                      <w:instrText xml:space="preserve"> PAGE  \* MERGEFORMAT </w:instrText>
                    </w:r>
                    <w:r>
                      <w:rPr>
                        <w:rFonts w:hint="eastAsia" w:ascii="黑体" w:hAnsi="黑体" w:eastAsia="黑体" w:cs="黑体"/>
                        <w:b/>
                        <w:bCs/>
                      </w:rPr>
                      <w:fldChar w:fldCharType="separate"/>
                    </w:r>
                    <w:r>
                      <w:rPr>
                        <w:rFonts w:hint="eastAsia" w:ascii="黑体" w:hAnsi="黑体" w:eastAsia="黑体" w:cs="黑体"/>
                        <w:b/>
                        <w:bCs/>
                      </w:rPr>
                      <w:t>1</w:t>
                    </w:r>
                    <w:r>
                      <w:rPr>
                        <w:rFonts w:hint="eastAsia" w:ascii="黑体" w:hAnsi="黑体" w:eastAsia="黑体" w:cs="黑体"/>
                        <w:b/>
                        <w:bCs/>
                      </w:rPr>
                      <w:fldChar w:fldCharType="end"/>
                    </w:r>
                    <w:r>
                      <w:rPr>
                        <w:rFonts w:hint="eastAsia" w:ascii="黑体" w:hAnsi="黑体" w:eastAsia="黑体" w:cs="黑体"/>
                        <w:b/>
                        <w:bCs/>
                      </w:rPr>
                      <w:t xml:space="preserve"> 页 共 </w:t>
                    </w:r>
                    <w:r>
                      <w:rPr>
                        <w:rFonts w:hint="eastAsia" w:ascii="黑体" w:hAnsi="黑体" w:eastAsia="黑体" w:cs="黑体"/>
                        <w:b/>
                        <w:bCs/>
                      </w:rPr>
                      <w:fldChar w:fldCharType="begin"/>
                    </w:r>
                    <w:r>
                      <w:rPr>
                        <w:rFonts w:hint="eastAsia" w:ascii="黑体" w:hAnsi="黑体" w:eastAsia="黑体" w:cs="黑体"/>
                        <w:b/>
                        <w:bCs/>
                      </w:rPr>
                      <w:instrText xml:space="preserve"> NUMPAGES  \* MERGEFORMAT </w:instrText>
                    </w:r>
                    <w:r>
                      <w:rPr>
                        <w:rFonts w:hint="eastAsia" w:ascii="黑体" w:hAnsi="黑体" w:eastAsia="黑体" w:cs="黑体"/>
                        <w:b/>
                        <w:bCs/>
                      </w:rPr>
                      <w:fldChar w:fldCharType="separate"/>
                    </w:r>
                    <w:r>
                      <w:rPr>
                        <w:rFonts w:hint="eastAsia" w:ascii="黑体" w:hAnsi="黑体" w:eastAsia="黑体" w:cs="黑体"/>
                        <w:b/>
                        <w:bCs/>
                      </w:rPr>
                      <w:t>53</w:t>
                    </w:r>
                    <w:r>
                      <w:rPr>
                        <w:rFonts w:hint="eastAsia" w:ascii="黑体" w:hAnsi="黑体" w:eastAsia="黑体" w:cs="黑体"/>
                        <w:b/>
                        <w:bCs/>
                      </w:rPr>
                      <w:fldChar w:fldCharType="end"/>
                    </w:r>
                    <w:r>
                      <w:rPr>
                        <w:rFonts w:hint="eastAsia" w:ascii="黑体" w:hAnsi="黑体" w:eastAsia="黑体" w:cs="黑体"/>
                        <w:b/>
                        <w:bCs/>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087C5">
    <w:pPr>
      <w:pStyle w:val="22"/>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CE1AA5">
                          <w:pPr>
                            <w:pStyle w:val="2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wps:txbx>
                    <wps:bodyPr wrap="none" lIns="0" tIns="0" rIns="0" bIns="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cGhXskBAACa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Ll&#10;M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NwaFeyQEAAJoDAAAOAAAAAAAAAAEAIAAAAB4BAABkcnMvZTJvRG9j&#10;LnhtbFBLBQYAAAAABgAGAFkBAABZBQAAAAA=&#10;">
              <v:fill on="f" focussize="0,0"/>
              <v:stroke on="f"/>
              <v:imagedata o:title=""/>
              <o:lock v:ext="edit" aspectratio="f"/>
              <v:textbox inset="0mm,0mm,0mm,0mm" style="mso-fit-shape-to-text:t;">
                <w:txbxContent>
                  <w:p w14:paraId="6FCE1AA5">
                    <w:pPr>
                      <w:pStyle w:val="2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4F198">
    <w:pPr>
      <w:snapToGrid w:val="0"/>
      <w:jc w:val="left"/>
      <w:rPr>
        <w:sz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002030" cy="1828800"/>
              <wp:effectExtent l="0" t="0" r="0" b="0"/>
              <wp:wrapNone/>
              <wp:docPr id="6" name="文本框 14"/>
              <wp:cNvGraphicFramePr/>
              <a:graphic xmlns:a="http://schemas.openxmlformats.org/drawingml/2006/main">
                <a:graphicData uri="http://schemas.microsoft.com/office/word/2010/wordprocessingShape">
                  <wps:wsp>
                    <wps:cNvSpPr txBox="1"/>
                    <wps:spPr>
                      <a:xfrm>
                        <a:off x="0" y="0"/>
                        <a:ext cx="1002030" cy="1828800"/>
                      </a:xfrm>
                      <a:prstGeom prst="rect">
                        <a:avLst/>
                      </a:prstGeom>
                      <a:noFill/>
                      <a:ln>
                        <a:noFill/>
                      </a:ln>
                    </wps:spPr>
                    <wps:txbx>
                      <w:txbxContent>
                        <w:p w14:paraId="148DADD8">
                          <w:pPr>
                            <w:pStyle w:val="22"/>
                            <w:rPr>
                              <w:rFonts w:hint="eastAsia" w:ascii="黑体" w:hAnsi="黑体" w:eastAsia="黑体" w:cs="黑体"/>
                              <w:b/>
                              <w:bCs/>
                            </w:rPr>
                          </w:pPr>
                          <w:r>
                            <w:rPr>
                              <w:rFonts w:hint="eastAsia" w:ascii="黑体" w:hAnsi="黑体" w:eastAsia="黑体" w:cs="黑体"/>
                              <w:b/>
                              <w:bCs/>
                            </w:rPr>
                            <w:t xml:space="preserve">第 </w:t>
                          </w:r>
                          <w:r>
                            <w:rPr>
                              <w:rFonts w:hint="eastAsia" w:ascii="黑体" w:hAnsi="黑体" w:eastAsia="黑体" w:cs="黑体"/>
                              <w:b/>
                              <w:bCs/>
                            </w:rPr>
                            <w:fldChar w:fldCharType="begin"/>
                          </w:r>
                          <w:r>
                            <w:rPr>
                              <w:rFonts w:hint="eastAsia" w:ascii="黑体" w:hAnsi="黑体" w:eastAsia="黑体" w:cs="黑体"/>
                              <w:b/>
                              <w:bCs/>
                            </w:rPr>
                            <w:instrText xml:space="preserve"> PAGE  \* MERGEFORMAT </w:instrText>
                          </w:r>
                          <w:r>
                            <w:rPr>
                              <w:rFonts w:hint="eastAsia" w:ascii="黑体" w:hAnsi="黑体" w:eastAsia="黑体" w:cs="黑体"/>
                              <w:b/>
                              <w:bCs/>
                            </w:rPr>
                            <w:fldChar w:fldCharType="separate"/>
                          </w:r>
                          <w:r>
                            <w:rPr>
                              <w:rFonts w:hint="eastAsia" w:ascii="黑体" w:hAnsi="黑体" w:eastAsia="黑体" w:cs="黑体"/>
                              <w:b/>
                              <w:bCs/>
                            </w:rPr>
                            <w:t>2</w:t>
                          </w:r>
                          <w:r>
                            <w:rPr>
                              <w:rFonts w:hint="eastAsia" w:ascii="黑体" w:hAnsi="黑体" w:eastAsia="黑体" w:cs="黑体"/>
                              <w:b/>
                              <w:bCs/>
                            </w:rPr>
                            <w:fldChar w:fldCharType="end"/>
                          </w:r>
                          <w:r>
                            <w:rPr>
                              <w:rFonts w:hint="eastAsia" w:ascii="黑体" w:hAnsi="黑体" w:eastAsia="黑体" w:cs="黑体"/>
                              <w:b/>
                              <w:bCs/>
                            </w:rPr>
                            <w:t xml:space="preserve"> 页 共 </w:t>
                          </w:r>
                          <w:r>
                            <w:rPr>
                              <w:rFonts w:hint="eastAsia" w:ascii="黑体" w:hAnsi="黑体" w:eastAsia="黑体" w:cs="黑体"/>
                              <w:b/>
                              <w:bCs/>
                            </w:rPr>
                            <w:fldChar w:fldCharType="begin"/>
                          </w:r>
                          <w:r>
                            <w:rPr>
                              <w:rFonts w:hint="eastAsia" w:ascii="黑体" w:hAnsi="黑体" w:eastAsia="黑体" w:cs="黑体"/>
                              <w:b/>
                              <w:bCs/>
                            </w:rPr>
                            <w:instrText xml:space="preserve"> NUMPAGES  \* MERGEFORMAT </w:instrText>
                          </w:r>
                          <w:r>
                            <w:rPr>
                              <w:rFonts w:hint="eastAsia" w:ascii="黑体" w:hAnsi="黑体" w:eastAsia="黑体" w:cs="黑体"/>
                              <w:b/>
                              <w:bCs/>
                            </w:rPr>
                            <w:fldChar w:fldCharType="separate"/>
                          </w:r>
                          <w:r>
                            <w:rPr>
                              <w:rFonts w:hint="eastAsia" w:ascii="黑体" w:hAnsi="黑体" w:eastAsia="黑体" w:cs="黑体"/>
                              <w:b/>
                              <w:bCs/>
                            </w:rPr>
                            <w:t>53</w:t>
                          </w:r>
                          <w:r>
                            <w:rPr>
                              <w:rFonts w:hint="eastAsia" w:ascii="黑体" w:hAnsi="黑体" w:eastAsia="黑体" w:cs="黑体"/>
                              <w:b/>
                              <w:bCs/>
                            </w:rPr>
                            <w:fldChar w:fldCharType="end"/>
                          </w:r>
                          <w:r>
                            <w:rPr>
                              <w:rFonts w:hint="eastAsia" w:ascii="黑体" w:hAnsi="黑体" w:eastAsia="黑体" w:cs="黑体"/>
                              <w:b/>
                              <w:bCs/>
                            </w:rPr>
                            <w:t xml:space="preserve"> 页</w:t>
                          </w:r>
                        </w:p>
                      </w:txbxContent>
                    </wps:txbx>
                    <wps:bodyPr lIns="0" tIns="0" rIns="0" bIns="0" upright="0">
                      <a:spAutoFit/>
                    </wps:bodyPr>
                  </wps:wsp>
                </a:graphicData>
              </a:graphic>
            </wp:anchor>
          </w:drawing>
        </mc:Choice>
        <mc:Fallback>
          <w:pict>
            <v:shape id="文本框 14" o:spid="_x0000_s1026" o:spt="202" type="#_x0000_t202" style="position:absolute;left:0pt;margin-top:0pt;height:144pt;width:78.9pt;mso-position-horizontal:center;mso-position-horizontal-relative:margin;z-index:251664384;mso-width-relative:page;mso-height-relative:page;" filled="f" stroked="f" coordsize="21600,21600" o:gfxdata="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kuyJG0wAAAAUBAAAPAAAAAAAAAAEAIAAAACIAAABkcnMvZG93bnJldi54&#10;bWxQSwECFAAUAAAACACHTuJA27/FBMYBAACOAwAADgAAAAAAAAABACAAAAAiAQAAZHJzL2Uyb0Rv&#10;Yy54bWxQSwUGAAAAAAYABgBZAQAAWgUAAAAA&#10;">
              <v:fill on="f" focussize="0,0"/>
              <v:stroke on="f"/>
              <v:imagedata o:title=""/>
              <o:lock v:ext="edit" aspectratio="f"/>
              <v:textbox inset="0mm,0mm,0mm,0mm" style="mso-fit-shape-to-text:t;">
                <w:txbxContent>
                  <w:p w14:paraId="148DADD8">
                    <w:pPr>
                      <w:pStyle w:val="22"/>
                      <w:rPr>
                        <w:rFonts w:hint="eastAsia" w:ascii="黑体" w:hAnsi="黑体" w:eastAsia="黑体" w:cs="黑体"/>
                        <w:b/>
                        <w:bCs/>
                      </w:rPr>
                    </w:pPr>
                    <w:r>
                      <w:rPr>
                        <w:rFonts w:hint="eastAsia" w:ascii="黑体" w:hAnsi="黑体" w:eastAsia="黑体" w:cs="黑体"/>
                        <w:b/>
                        <w:bCs/>
                      </w:rPr>
                      <w:t xml:space="preserve">第 </w:t>
                    </w:r>
                    <w:r>
                      <w:rPr>
                        <w:rFonts w:hint="eastAsia" w:ascii="黑体" w:hAnsi="黑体" w:eastAsia="黑体" w:cs="黑体"/>
                        <w:b/>
                        <w:bCs/>
                      </w:rPr>
                      <w:fldChar w:fldCharType="begin"/>
                    </w:r>
                    <w:r>
                      <w:rPr>
                        <w:rFonts w:hint="eastAsia" w:ascii="黑体" w:hAnsi="黑体" w:eastAsia="黑体" w:cs="黑体"/>
                        <w:b/>
                        <w:bCs/>
                      </w:rPr>
                      <w:instrText xml:space="preserve"> PAGE  \* MERGEFORMAT </w:instrText>
                    </w:r>
                    <w:r>
                      <w:rPr>
                        <w:rFonts w:hint="eastAsia" w:ascii="黑体" w:hAnsi="黑体" w:eastAsia="黑体" w:cs="黑体"/>
                        <w:b/>
                        <w:bCs/>
                      </w:rPr>
                      <w:fldChar w:fldCharType="separate"/>
                    </w:r>
                    <w:r>
                      <w:rPr>
                        <w:rFonts w:hint="eastAsia" w:ascii="黑体" w:hAnsi="黑体" w:eastAsia="黑体" w:cs="黑体"/>
                        <w:b/>
                        <w:bCs/>
                      </w:rPr>
                      <w:t>2</w:t>
                    </w:r>
                    <w:r>
                      <w:rPr>
                        <w:rFonts w:hint="eastAsia" w:ascii="黑体" w:hAnsi="黑体" w:eastAsia="黑体" w:cs="黑体"/>
                        <w:b/>
                        <w:bCs/>
                      </w:rPr>
                      <w:fldChar w:fldCharType="end"/>
                    </w:r>
                    <w:r>
                      <w:rPr>
                        <w:rFonts w:hint="eastAsia" w:ascii="黑体" w:hAnsi="黑体" w:eastAsia="黑体" w:cs="黑体"/>
                        <w:b/>
                        <w:bCs/>
                      </w:rPr>
                      <w:t xml:space="preserve"> 页 共 </w:t>
                    </w:r>
                    <w:r>
                      <w:rPr>
                        <w:rFonts w:hint="eastAsia" w:ascii="黑体" w:hAnsi="黑体" w:eastAsia="黑体" w:cs="黑体"/>
                        <w:b/>
                        <w:bCs/>
                      </w:rPr>
                      <w:fldChar w:fldCharType="begin"/>
                    </w:r>
                    <w:r>
                      <w:rPr>
                        <w:rFonts w:hint="eastAsia" w:ascii="黑体" w:hAnsi="黑体" w:eastAsia="黑体" w:cs="黑体"/>
                        <w:b/>
                        <w:bCs/>
                      </w:rPr>
                      <w:instrText xml:space="preserve"> NUMPAGES  \* MERGEFORMAT </w:instrText>
                    </w:r>
                    <w:r>
                      <w:rPr>
                        <w:rFonts w:hint="eastAsia" w:ascii="黑体" w:hAnsi="黑体" w:eastAsia="黑体" w:cs="黑体"/>
                        <w:b/>
                        <w:bCs/>
                      </w:rPr>
                      <w:fldChar w:fldCharType="separate"/>
                    </w:r>
                    <w:r>
                      <w:rPr>
                        <w:rFonts w:hint="eastAsia" w:ascii="黑体" w:hAnsi="黑体" w:eastAsia="黑体" w:cs="黑体"/>
                        <w:b/>
                        <w:bCs/>
                      </w:rPr>
                      <w:t>53</w:t>
                    </w:r>
                    <w:r>
                      <w:rPr>
                        <w:rFonts w:hint="eastAsia" w:ascii="黑体" w:hAnsi="黑体" w:eastAsia="黑体" w:cs="黑体"/>
                        <w:b/>
                        <w:bCs/>
                      </w:rPr>
                      <w:fldChar w:fldCharType="end"/>
                    </w:r>
                    <w:r>
                      <w:rPr>
                        <w:rFonts w:hint="eastAsia" w:ascii="黑体" w:hAnsi="黑体" w:eastAsia="黑体" w:cs="黑体"/>
                        <w:b/>
                        <w:bCs/>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4D34B">
    <w:pPr>
      <w:pStyle w:val="2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93EEBA">
                          <w:pPr>
                            <w:pStyle w:val="22"/>
                            <w:rPr>
                              <w:rFonts w:hint="eastAsia" w:ascii="黑体" w:hAnsi="黑体" w:eastAsia="黑体" w:cs="黑体"/>
                              <w:b/>
                              <w:bCs/>
                            </w:rPr>
                          </w:pPr>
                          <w:r>
                            <w:rPr>
                              <w:rFonts w:hint="eastAsia" w:ascii="黑体" w:hAnsi="黑体" w:eastAsia="黑体" w:cs="黑体"/>
                              <w:b/>
                              <w:bCs/>
                            </w:rPr>
                            <w:t xml:space="preserve">第 </w:t>
                          </w:r>
                          <w:r>
                            <w:rPr>
                              <w:rFonts w:hint="eastAsia" w:ascii="黑体" w:hAnsi="黑体" w:eastAsia="黑体" w:cs="黑体"/>
                              <w:b/>
                              <w:bCs/>
                            </w:rPr>
                            <w:fldChar w:fldCharType="begin"/>
                          </w:r>
                          <w:r>
                            <w:rPr>
                              <w:rFonts w:hint="eastAsia" w:ascii="黑体" w:hAnsi="黑体" w:eastAsia="黑体" w:cs="黑体"/>
                              <w:b/>
                              <w:bCs/>
                            </w:rPr>
                            <w:instrText xml:space="preserve"> PAGE  \* MERGEFORMAT </w:instrText>
                          </w:r>
                          <w:r>
                            <w:rPr>
                              <w:rFonts w:hint="eastAsia" w:ascii="黑体" w:hAnsi="黑体" w:eastAsia="黑体" w:cs="黑体"/>
                              <w:b/>
                              <w:bCs/>
                            </w:rPr>
                            <w:fldChar w:fldCharType="separate"/>
                          </w:r>
                          <w:r>
                            <w:rPr>
                              <w:rFonts w:hint="eastAsia" w:ascii="黑体" w:hAnsi="黑体" w:eastAsia="黑体" w:cs="黑体"/>
                              <w:b/>
                              <w:bCs/>
                            </w:rPr>
                            <w:t>1</w:t>
                          </w:r>
                          <w:r>
                            <w:rPr>
                              <w:rFonts w:hint="eastAsia" w:ascii="黑体" w:hAnsi="黑体" w:eastAsia="黑体" w:cs="黑体"/>
                              <w:b/>
                              <w:bCs/>
                            </w:rPr>
                            <w:fldChar w:fldCharType="end"/>
                          </w:r>
                          <w:r>
                            <w:rPr>
                              <w:rFonts w:hint="eastAsia" w:ascii="黑体" w:hAnsi="黑体" w:eastAsia="黑体" w:cs="黑体"/>
                              <w:b/>
                              <w:bCs/>
                            </w:rPr>
                            <w:t xml:space="preserve"> 页 共 </w:t>
                          </w:r>
                          <w:r>
                            <w:rPr>
                              <w:rFonts w:hint="eastAsia" w:ascii="黑体" w:hAnsi="黑体" w:eastAsia="黑体" w:cs="黑体"/>
                              <w:b/>
                              <w:bCs/>
                            </w:rPr>
                            <w:fldChar w:fldCharType="begin"/>
                          </w:r>
                          <w:r>
                            <w:rPr>
                              <w:rFonts w:hint="eastAsia" w:ascii="黑体" w:hAnsi="黑体" w:eastAsia="黑体" w:cs="黑体"/>
                              <w:b/>
                              <w:bCs/>
                            </w:rPr>
                            <w:instrText xml:space="preserve"> NUMPAGES  \* MERGEFORMAT </w:instrText>
                          </w:r>
                          <w:r>
                            <w:rPr>
                              <w:rFonts w:hint="eastAsia" w:ascii="黑体" w:hAnsi="黑体" w:eastAsia="黑体" w:cs="黑体"/>
                              <w:b/>
                              <w:bCs/>
                            </w:rPr>
                            <w:fldChar w:fldCharType="separate"/>
                          </w:r>
                          <w:r>
                            <w:rPr>
                              <w:rFonts w:hint="eastAsia" w:ascii="黑体" w:hAnsi="黑体" w:eastAsia="黑体" w:cs="黑体"/>
                              <w:b/>
                              <w:bCs/>
                            </w:rPr>
                            <w:t>53</w:t>
                          </w:r>
                          <w:r>
                            <w:rPr>
                              <w:rFonts w:hint="eastAsia" w:ascii="黑体" w:hAnsi="黑体" w:eastAsia="黑体" w:cs="黑体"/>
                              <w:b/>
                              <w:bCs/>
                            </w:rPr>
                            <w:fldChar w:fldCharType="end"/>
                          </w:r>
                          <w:r>
                            <w:rPr>
                              <w:rFonts w:hint="eastAsia" w:ascii="黑体" w:hAnsi="黑体" w:eastAsia="黑体" w:cs="黑体"/>
                              <w:b/>
                              <w:bCs/>
                            </w:rPr>
                            <w:t xml:space="preserve"> 页</w:t>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fPguc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h8+C5yQEAAJkDAAAOAAAAAAAAAAEAIAAAAB4BAABkcnMvZTJvRG9j&#10;LnhtbFBLBQYAAAAABgAGAFkBAABZBQAAAAA=&#10;">
              <v:fill on="f" focussize="0,0"/>
              <v:stroke on="f"/>
              <v:imagedata o:title=""/>
              <o:lock v:ext="edit" aspectratio="f"/>
              <v:textbox inset="0mm,0mm,0mm,0mm" style="mso-fit-shape-to-text:t;">
                <w:txbxContent>
                  <w:p w14:paraId="3E93EEBA">
                    <w:pPr>
                      <w:pStyle w:val="22"/>
                      <w:rPr>
                        <w:rFonts w:hint="eastAsia" w:ascii="黑体" w:hAnsi="黑体" w:eastAsia="黑体" w:cs="黑体"/>
                        <w:b/>
                        <w:bCs/>
                      </w:rPr>
                    </w:pPr>
                    <w:r>
                      <w:rPr>
                        <w:rFonts w:hint="eastAsia" w:ascii="黑体" w:hAnsi="黑体" w:eastAsia="黑体" w:cs="黑体"/>
                        <w:b/>
                        <w:bCs/>
                      </w:rPr>
                      <w:t xml:space="preserve">第 </w:t>
                    </w:r>
                    <w:r>
                      <w:rPr>
                        <w:rFonts w:hint="eastAsia" w:ascii="黑体" w:hAnsi="黑体" w:eastAsia="黑体" w:cs="黑体"/>
                        <w:b/>
                        <w:bCs/>
                      </w:rPr>
                      <w:fldChar w:fldCharType="begin"/>
                    </w:r>
                    <w:r>
                      <w:rPr>
                        <w:rFonts w:hint="eastAsia" w:ascii="黑体" w:hAnsi="黑体" w:eastAsia="黑体" w:cs="黑体"/>
                        <w:b/>
                        <w:bCs/>
                      </w:rPr>
                      <w:instrText xml:space="preserve"> PAGE  \* MERGEFORMAT </w:instrText>
                    </w:r>
                    <w:r>
                      <w:rPr>
                        <w:rFonts w:hint="eastAsia" w:ascii="黑体" w:hAnsi="黑体" w:eastAsia="黑体" w:cs="黑体"/>
                        <w:b/>
                        <w:bCs/>
                      </w:rPr>
                      <w:fldChar w:fldCharType="separate"/>
                    </w:r>
                    <w:r>
                      <w:rPr>
                        <w:rFonts w:hint="eastAsia" w:ascii="黑体" w:hAnsi="黑体" w:eastAsia="黑体" w:cs="黑体"/>
                        <w:b/>
                        <w:bCs/>
                      </w:rPr>
                      <w:t>1</w:t>
                    </w:r>
                    <w:r>
                      <w:rPr>
                        <w:rFonts w:hint="eastAsia" w:ascii="黑体" w:hAnsi="黑体" w:eastAsia="黑体" w:cs="黑体"/>
                        <w:b/>
                        <w:bCs/>
                      </w:rPr>
                      <w:fldChar w:fldCharType="end"/>
                    </w:r>
                    <w:r>
                      <w:rPr>
                        <w:rFonts w:hint="eastAsia" w:ascii="黑体" w:hAnsi="黑体" w:eastAsia="黑体" w:cs="黑体"/>
                        <w:b/>
                        <w:bCs/>
                      </w:rPr>
                      <w:t xml:space="preserve"> 页 共 </w:t>
                    </w:r>
                    <w:r>
                      <w:rPr>
                        <w:rFonts w:hint="eastAsia" w:ascii="黑体" w:hAnsi="黑体" w:eastAsia="黑体" w:cs="黑体"/>
                        <w:b/>
                        <w:bCs/>
                      </w:rPr>
                      <w:fldChar w:fldCharType="begin"/>
                    </w:r>
                    <w:r>
                      <w:rPr>
                        <w:rFonts w:hint="eastAsia" w:ascii="黑体" w:hAnsi="黑体" w:eastAsia="黑体" w:cs="黑体"/>
                        <w:b/>
                        <w:bCs/>
                      </w:rPr>
                      <w:instrText xml:space="preserve"> NUMPAGES  \* MERGEFORMAT </w:instrText>
                    </w:r>
                    <w:r>
                      <w:rPr>
                        <w:rFonts w:hint="eastAsia" w:ascii="黑体" w:hAnsi="黑体" w:eastAsia="黑体" w:cs="黑体"/>
                        <w:b/>
                        <w:bCs/>
                      </w:rPr>
                      <w:fldChar w:fldCharType="separate"/>
                    </w:r>
                    <w:r>
                      <w:rPr>
                        <w:rFonts w:hint="eastAsia" w:ascii="黑体" w:hAnsi="黑体" w:eastAsia="黑体" w:cs="黑体"/>
                        <w:b/>
                        <w:bCs/>
                      </w:rPr>
                      <w:t>53</w:t>
                    </w:r>
                    <w:r>
                      <w:rPr>
                        <w:rFonts w:hint="eastAsia" w:ascii="黑体" w:hAnsi="黑体" w:eastAsia="黑体" w:cs="黑体"/>
                        <w:b/>
                        <w:bCs/>
                      </w:rPr>
                      <w:fldChar w:fldCharType="end"/>
                    </w:r>
                    <w:r>
                      <w:rPr>
                        <w:rFonts w:hint="eastAsia" w:ascii="黑体" w:hAnsi="黑体" w:eastAsia="黑体" w:cs="黑体"/>
                        <w:b/>
                        <w:bCs/>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66C66">
    <w:pPr>
      <w:pStyle w:val="22"/>
      <w:rPr>
        <w:rFonts w:hint="eastAsia"/>
        <w:b/>
        <w:sz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07CCFB">
                          <w:pPr>
                            <w:pStyle w:val="22"/>
                            <w:rPr>
                              <w:rFonts w:hint="eastAsia" w:ascii="黑体" w:hAnsi="黑体" w:eastAsia="黑体" w:cs="黑体"/>
                              <w:b/>
                              <w:bCs/>
                            </w:rPr>
                          </w:pPr>
                          <w:r>
                            <w:rPr>
                              <w:rFonts w:hint="eastAsia" w:ascii="黑体" w:hAnsi="黑体" w:eastAsia="黑体" w:cs="黑体"/>
                              <w:b/>
                              <w:bCs/>
                            </w:rPr>
                            <w:t xml:space="preserve">第 </w:t>
                          </w:r>
                          <w:r>
                            <w:rPr>
                              <w:rFonts w:hint="eastAsia" w:ascii="黑体" w:hAnsi="黑体" w:eastAsia="黑体" w:cs="黑体"/>
                              <w:b/>
                              <w:bCs/>
                            </w:rPr>
                            <w:fldChar w:fldCharType="begin"/>
                          </w:r>
                          <w:r>
                            <w:rPr>
                              <w:rFonts w:hint="eastAsia" w:ascii="黑体" w:hAnsi="黑体" w:eastAsia="黑体" w:cs="黑体"/>
                              <w:b/>
                              <w:bCs/>
                            </w:rPr>
                            <w:instrText xml:space="preserve"> PAGE  \* MERGEFORMAT </w:instrText>
                          </w:r>
                          <w:r>
                            <w:rPr>
                              <w:rFonts w:hint="eastAsia" w:ascii="黑体" w:hAnsi="黑体" w:eastAsia="黑体" w:cs="黑体"/>
                              <w:b/>
                              <w:bCs/>
                            </w:rPr>
                            <w:fldChar w:fldCharType="separate"/>
                          </w:r>
                          <w:r>
                            <w:rPr>
                              <w:rFonts w:hint="eastAsia" w:ascii="黑体" w:hAnsi="黑体" w:eastAsia="黑体" w:cs="黑体"/>
                              <w:b/>
                              <w:bCs/>
                            </w:rPr>
                            <w:t>48</w:t>
                          </w:r>
                          <w:r>
                            <w:rPr>
                              <w:rFonts w:hint="eastAsia" w:ascii="黑体" w:hAnsi="黑体" w:eastAsia="黑体" w:cs="黑体"/>
                              <w:b/>
                              <w:bCs/>
                            </w:rPr>
                            <w:fldChar w:fldCharType="end"/>
                          </w:r>
                          <w:r>
                            <w:rPr>
                              <w:rFonts w:hint="eastAsia" w:ascii="黑体" w:hAnsi="黑体" w:eastAsia="黑体" w:cs="黑体"/>
                              <w:b/>
                              <w:bCs/>
                            </w:rPr>
                            <w:t xml:space="preserve"> 页 共 </w:t>
                          </w:r>
                          <w:r>
                            <w:rPr>
                              <w:rFonts w:hint="eastAsia" w:ascii="黑体" w:hAnsi="黑体" w:eastAsia="黑体" w:cs="黑体"/>
                              <w:b/>
                              <w:bCs/>
                            </w:rPr>
                            <w:fldChar w:fldCharType="begin"/>
                          </w:r>
                          <w:r>
                            <w:rPr>
                              <w:rFonts w:hint="eastAsia" w:ascii="黑体" w:hAnsi="黑体" w:eastAsia="黑体" w:cs="黑体"/>
                              <w:b/>
                              <w:bCs/>
                            </w:rPr>
                            <w:instrText xml:space="preserve"> NUMPAGES  \* MERGEFORMAT </w:instrText>
                          </w:r>
                          <w:r>
                            <w:rPr>
                              <w:rFonts w:hint="eastAsia" w:ascii="黑体" w:hAnsi="黑体" w:eastAsia="黑体" w:cs="黑体"/>
                              <w:b/>
                              <w:bCs/>
                            </w:rPr>
                            <w:fldChar w:fldCharType="separate"/>
                          </w:r>
                          <w:r>
                            <w:rPr>
                              <w:rFonts w:hint="eastAsia" w:ascii="黑体" w:hAnsi="黑体" w:eastAsia="黑体" w:cs="黑体"/>
                              <w:b/>
                              <w:bCs/>
                            </w:rPr>
                            <w:t>53</w:t>
                          </w:r>
                          <w:r>
                            <w:rPr>
                              <w:rFonts w:hint="eastAsia" w:ascii="黑体" w:hAnsi="黑体" w:eastAsia="黑体" w:cs="黑体"/>
                              <w:b/>
                              <w:bCs/>
                            </w:rPr>
                            <w:fldChar w:fldCharType="end"/>
                          </w:r>
                          <w:r>
                            <w:rPr>
                              <w:rFonts w:hint="eastAsia" w:ascii="黑体" w:hAnsi="黑体" w:eastAsia="黑体" w:cs="黑体"/>
                              <w:b/>
                              <w:bCs/>
                            </w:rPr>
                            <w:t xml:space="preserve"> 页</w:t>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14:paraId="1007CCFB">
                    <w:pPr>
                      <w:pStyle w:val="22"/>
                      <w:rPr>
                        <w:rFonts w:hint="eastAsia" w:ascii="黑体" w:hAnsi="黑体" w:eastAsia="黑体" w:cs="黑体"/>
                        <w:b/>
                        <w:bCs/>
                      </w:rPr>
                    </w:pPr>
                    <w:r>
                      <w:rPr>
                        <w:rFonts w:hint="eastAsia" w:ascii="黑体" w:hAnsi="黑体" w:eastAsia="黑体" w:cs="黑体"/>
                        <w:b/>
                        <w:bCs/>
                      </w:rPr>
                      <w:t xml:space="preserve">第 </w:t>
                    </w:r>
                    <w:r>
                      <w:rPr>
                        <w:rFonts w:hint="eastAsia" w:ascii="黑体" w:hAnsi="黑体" w:eastAsia="黑体" w:cs="黑体"/>
                        <w:b/>
                        <w:bCs/>
                      </w:rPr>
                      <w:fldChar w:fldCharType="begin"/>
                    </w:r>
                    <w:r>
                      <w:rPr>
                        <w:rFonts w:hint="eastAsia" w:ascii="黑体" w:hAnsi="黑体" w:eastAsia="黑体" w:cs="黑体"/>
                        <w:b/>
                        <w:bCs/>
                      </w:rPr>
                      <w:instrText xml:space="preserve"> PAGE  \* MERGEFORMAT </w:instrText>
                    </w:r>
                    <w:r>
                      <w:rPr>
                        <w:rFonts w:hint="eastAsia" w:ascii="黑体" w:hAnsi="黑体" w:eastAsia="黑体" w:cs="黑体"/>
                        <w:b/>
                        <w:bCs/>
                      </w:rPr>
                      <w:fldChar w:fldCharType="separate"/>
                    </w:r>
                    <w:r>
                      <w:rPr>
                        <w:rFonts w:hint="eastAsia" w:ascii="黑体" w:hAnsi="黑体" w:eastAsia="黑体" w:cs="黑体"/>
                        <w:b/>
                        <w:bCs/>
                      </w:rPr>
                      <w:t>48</w:t>
                    </w:r>
                    <w:r>
                      <w:rPr>
                        <w:rFonts w:hint="eastAsia" w:ascii="黑体" w:hAnsi="黑体" w:eastAsia="黑体" w:cs="黑体"/>
                        <w:b/>
                        <w:bCs/>
                      </w:rPr>
                      <w:fldChar w:fldCharType="end"/>
                    </w:r>
                    <w:r>
                      <w:rPr>
                        <w:rFonts w:hint="eastAsia" w:ascii="黑体" w:hAnsi="黑体" w:eastAsia="黑体" w:cs="黑体"/>
                        <w:b/>
                        <w:bCs/>
                      </w:rPr>
                      <w:t xml:space="preserve"> 页 共 </w:t>
                    </w:r>
                    <w:r>
                      <w:rPr>
                        <w:rFonts w:hint="eastAsia" w:ascii="黑体" w:hAnsi="黑体" w:eastAsia="黑体" w:cs="黑体"/>
                        <w:b/>
                        <w:bCs/>
                      </w:rPr>
                      <w:fldChar w:fldCharType="begin"/>
                    </w:r>
                    <w:r>
                      <w:rPr>
                        <w:rFonts w:hint="eastAsia" w:ascii="黑体" w:hAnsi="黑体" w:eastAsia="黑体" w:cs="黑体"/>
                        <w:b/>
                        <w:bCs/>
                      </w:rPr>
                      <w:instrText xml:space="preserve"> NUMPAGES  \* MERGEFORMAT </w:instrText>
                    </w:r>
                    <w:r>
                      <w:rPr>
                        <w:rFonts w:hint="eastAsia" w:ascii="黑体" w:hAnsi="黑体" w:eastAsia="黑体" w:cs="黑体"/>
                        <w:b/>
                        <w:bCs/>
                      </w:rPr>
                      <w:fldChar w:fldCharType="separate"/>
                    </w:r>
                    <w:r>
                      <w:rPr>
                        <w:rFonts w:hint="eastAsia" w:ascii="黑体" w:hAnsi="黑体" w:eastAsia="黑体" w:cs="黑体"/>
                        <w:b/>
                        <w:bCs/>
                      </w:rPr>
                      <w:t>53</w:t>
                    </w:r>
                    <w:r>
                      <w:rPr>
                        <w:rFonts w:hint="eastAsia" w:ascii="黑体" w:hAnsi="黑体" w:eastAsia="黑体" w:cs="黑体"/>
                        <w:b/>
                        <w:bCs/>
                      </w:rPr>
                      <w:fldChar w:fldCharType="end"/>
                    </w:r>
                    <w:r>
                      <w:rPr>
                        <w:rFonts w:hint="eastAsia" w:ascii="黑体" w:hAnsi="黑体" w:eastAsia="黑体" w:cs="黑体"/>
                        <w:b/>
                        <w:bCs/>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BB382">
    <w:pPr>
      <w:pStyle w:val="22"/>
      <w:framePr w:wrap="around" w:vAnchor="text" w:hAnchor="margin" w:xAlign="center" w:y="1"/>
      <w:rPr>
        <w:rStyle w:val="39"/>
      </w:rPr>
    </w:pPr>
    <w:r>
      <w:fldChar w:fldCharType="begin"/>
    </w:r>
    <w:r>
      <w:rPr>
        <w:rStyle w:val="39"/>
      </w:rPr>
      <w:instrText xml:space="preserve">PAGE  </w:instrText>
    </w:r>
    <w:r>
      <w:fldChar w:fldCharType="end"/>
    </w:r>
  </w:p>
  <w:p w14:paraId="5FE3846F">
    <w:pPr>
      <w:pStyle w:val="2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A9537">
    <w:pPr>
      <w:pStyle w:val="22"/>
      <w:jc w:val="center"/>
      <w:rPr>
        <w:rFonts w:hint="eastAsia"/>
        <w:b/>
        <w:sz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357995">
                          <w:pPr>
                            <w:pStyle w:val="22"/>
                            <w:rPr>
                              <w:rFonts w:hint="eastAsia" w:ascii="黑体" w:hAnsi="黑体" w:eastAsia="黑体" w:cs="黑体"/>
                              <w:b/>
                              <w:bCs/>
                            </w:rPr>
                          </w:pPr>
                          <w:r>
                            <w:rPr>
                              <w:rFonts w:hint="eastAsia" w:ascii="黑体" w:hAnsi="黑体" w:eastAsia="黑体" w:cs="黑体"/>
                              <w:b/>
                              <w:bCs/>
                            </w:rPr>
                            <w:t xml:space="preserve">第 </w:t>
                          </w:r>
                          <w:r>
                            <w:rPr>
                              <w:rFonts w:hint="eastAsia" w:ascii="黑体" w:hAnsi="黑体" w:eastAsia="黑体" w:cs="黑体"/>
                              <w:b/>
                              <w:bCs/>
                            </w:rPr>
                            <w:fldChar w:fldCharType="begin"/>
                          </w:r>
                          <w:r>
                            <w:rPr>
                              <w:rFonts w:hint="eastAsia" w:ascii="黑体" w:hAnsi="黑体" w:eastAsia="黑体" w:cs="黑体"/>
                              <w:b/>
                              <w:bCs/>
                            </w:rPr>
                            <w:instrText xml:space="preserve"> PAGE  \* MERGEFORMAT </w:instrText>
                          </w:r>
                          <w:r>
                            <w:rPr>
                              <w:rFonts w:hint="eastAsia" w:ascii="黑体" w:hAnsi="黑体" w:eastAsia="黑体" w:cs="黑体"/>
                              <w:b/>
                              <w:bCs/>
                            </w:rPr>
                            <w:fldChar w:fldCharType="separate"/>
                          </w:r>
                          <w:r>
                            <w:rPr>
                              <w:rFonts w:hint="eastAsia" w:ascii="黑体" w:hAnsi="黑体" w:eastAsia="黑体" w:cs="黑体"/>
                              <w:b/>
                              <w:bCs/>
                            </w:rPr>
                            <w:t>47</w:t>
                          </w:r>
                          <w:r>
                            <w:rPr>
                              <w:rFonts w:hint="eastAsia" w:ascii="黑体" w:hAnsi="黑体" w:eastAsia="黑体" w:cs="黑体"/>
                              <w:b/>
                              <w:bCs/>
                            </w:rPr>
                            <w:fldChar w:fldCharType="end"/>
                          </w:r>
                          <w:r>
                            <w:rPr>
                              <w:rFonts w:hint="eastAsia" w:ascii="黑体" w:hAnsi="黑体" w:eastAsia="黑体" w:cs="黑体"/>
                              <w:b/>
                              <w:bCs/>
                            </w:rPr>
                            <w:t xml:space="preserve"> 页 共 </w:t>
                          </w:r>
                          <w:r>
                            <w:rPr>
                              <w:rFonts w:hint="eastAsia" w:ascii="黑体" w:hAnsi="黑体" w:eastAsia="黑体" w:cs="黑体"/>
                              <w:b/>
                              <w:bCs/>
                            </w:rPr>
                            <w:fldChar w:fldCharType="begin"/>
                          </w:r>
                          <w:r>
                            <w:rPr>
                              <w:rFonts w:hint="eastAsia" w:ascii="黑体" w:hAnsi="黑体" w:eastAsia="黑体" w:cs="黑体"/>
                              <w:b/>
                              <w:bCs/>
                            </w:rPr>
                            <w:instrText xml:space="preserve"> NUMPAGES  \* MERGEFORMAT </w:instrText>
                          </w:r>
                          <w:r>
                            <w:rPr>
                              <w:rFonts w:hint="eastAsia" w:ascii="黑体" w:hAnsi="黑体" w:eastAsia="黑体" w:cs="黑体"/>
                              <w:b/>
                              <w:bCs/>
                            </w:rPr>
                            <w:fldChar w:fldCharType="separate"/>
                          </w:r>
                          <w:r>
                            <w:rPr>
                              <w:rFonts w:hint="eastAsia" w:ascii="黑体" w:hAnsi="黑体" w:eastAsia="黑体" w:cs="黑体"/>
                              <w:b/>
                              <w:bCs/>
                            </w:rPr>
                            <w:t>53</w:t>
                          </w:r>
                          <w:r>
                            <w:rPr>
                              <w:rFonts w:hint="eastAsia" w:ascii="黑体" w:hAnsi="黑体" w:eastAsia="黑体" w:cs="黑体"/>
                              <w:b/>
                              <w:bCs/>
                            </w:rPr>
                            <w:fldChar w:fldCharType="end"/>
                          </w:r>
                          <w:r>
                            <w:rPr>
                              <w:rFonts w:hint="eastAsia" w:ascii="黑体" w:hAnsi="黑体" w:eastAsia="黑体" w:cs="黑体"/>
                              <w:b/>
                              <w:bCs/>
                            </w:rPr>
                            <w:t xml:space="preserve"> 页</w:t>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14:paraId="08357995">
                    <w:pPr>
                      <w:pStyle w:val="22"/>
                      <w:rPr>
                        <w:rFonts w:hint="eastAsia" w:ascii="黑体" w:hAnsi="黑体" w:eastAsia="黑体" w:cs="黑体"/>
                        <w:b/>
                        <w:bCs/>
                      </w:rPr>
                    </w:pPr>
                    <w:r>
                      <w:rPr>
                        <w:rFonts w:hint="eastAsia" w:ascii="黑体" w:hAnsi="黑体" w:eastAsia="黑体" w:cs="黑体"/>
                        <w:b/>
                        <w:bCs/>
                      </w:rPr>
                      <w:t xml:space="preserve">第 </w:t>
                    </w:r>
                    <w:r>
                      <w:rPr>
                        <w:rFonts w:hint="eastAsia" w:ascii="黑体" w:hAnsi="黑体" w:eastAsia="黑体" w:cs="黑体"/>
                        <w:b/>
                        <w:bCs/>
                      </w:rPr>
                      <w:fldChar w:fldCharType="begin"/>
                    </w:r>
                    <w:r>
                      <w:rPr>
                        <w:rFonts w:hint="eastAsia" w:ascii="黑体" w:hAnsi="黑体" w:eastAsia="黑体" w:cs="黑体"/>
                        <w:b/>
                        <w:bCs/>
                      </w:rPr>
                      <w:instrText xml:space="preserve"> PAGE  \* MERGEFORMAT </w:instrText>
                    </w:r>
                    <w:r>
                      <w:rPr>
                        <w:rFonts w:hint="eastAsia" w:ascii="黑体" w:hAnsi="黑体" w:eastAsia="黑体" w:cs="黑体"/>
                        <w:b/>
                        <w:bCs/>
                      </w:rPr>
                      <w:fldChar w:fldCharType="separate"/>
                    </w:r>
                    <w:r>
                      <w:rPr>
                        <w:rFonts w:hint="eastAsia" w:ascii="黑体" w:hAnsi="黑体" w:eastAsia="黑体" w:cs="黑体"/>
                        <w:b/>
                        <w:bCs/>
                      </w:rPr>
                      <w:t>47</w:t>
                    </w:r>
                    <w:r>
                      <w:rPr>
                        <w:rFonts w:hint="eastAsia" w:ascii="黑体" w:hAnsi="黑体" w:eastAsia="黑体" w:cs="黑体"/>
                        <w:b/>
                        <w:bCs/>
                      </w:rPr>
                      <w:fldChar w:fldCharType="end"/>
                    </w:r>
                    <w:r>
                      <w:rPr>
                        <w:rFonts w:hint="eastAsia" w:ascii="黑体" w:hAnsi="黑体" w:eastAsia="黑体" w:cs="黑体"/>
                        <w:b/>
                        <w:bCs/>
                      </w:rPr>
                      <w:t xml:space="preserve"> 页 共 </w:t>
                    </w:r>
                    <w:r>
                      <w:rPr>
                        <w:rFonts w:hint="eastAsia" w:ascii="黑体" w:hAnsi="黑体" w:eastAsia="黑体" w:cs="黑体"/>
                        <w:b/>
                        <w:bCs/>
                      </w:rPr>
                      <w:fldChar w:fldCharType="begin"/>
                    </w:r>
                    <w:r>
                      <w:rPr>
                        <w:rFonts w:hint="eastAsia" w:ascii="黑体" w:hAnsi="黑体" w:eastAsia="黑体" w:cs="黑体"/>
                        <w:b/>
                        <w:bCs/>
                      </w:rPr>
                      <w:instrText xml:space="preserve"> NUMPAGES  \* MERGEFORMAT </w:instrText>
                    </w:r>
                    <w:r>
                      <w:rPr>
                        <w:rFonts w:hint="eastAsia" w:ascii="黑体" w:hAnsi="黑体" w:eastAsia="黑体" w:cs="黑体"/>
                        <w:b/>
                        <w:bCs/>
                      </w:rPr>
                      <w:fldChar w:fldCharType="separate"/>
                    </w:r>
                    <w:r>
                      <w:rPr>
                        <w:rFonts w:hint="eastAsia" w:ascii="黑体" w:hAnsi="黑体" w:eastAsia="黑体" w:cs="黑体"/>
                        <w:b/>
                        <w:bCs/>
                      </w:rPr>
                      <w:t>53</w:t>
                    </w:r>
                    <w:r>
                      <w:rPr>
                        <w:rFonts w:hint="eastAsia" w:ascii="黑体" w:hAnsi="黑体" w:eastAsia="黑体" w:cs="黑体"/>
                        <w:b/>
                        <w:bCs/>
                      </w:rPr>
                      <w:fldChar w:fldCharType="end"/>
                    </w:r>
                    <w:r>
                      <w:rPr>
                        <w:rFonts w:hint="eastAsia" w:ascii="黑体" w:hAnsi="黑体" w:eastAsia="黑体" w:cs="黑体"/>
                        <w:b/>
                        <w:bCs/>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962EB">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652324"/>
    <w:multiLevelType w:val="singleLevel"/>
    <w:tmpl w:val="AB652324"/>
    <w:lvl w:ilvl="0" w:tentative="0">
      <w:start w:val="15"/>
      <w:numFmt w:val="decimal"/>
      <w:lvlText w:val="%1."/>
      <w:lvlJc w:val="left"/>
      <w:pPr>
        <w:tabs>
          <w:tab w:val="left" w:pos="312"/>
        </w:tabs>
      </w:pPr>
    </w:lvl>
  </w:abstractNum>
  <w:abstractNum w:abstractNumId="1">
    <w:nsid w:val="B279DC27"/>
    <w:multiLevelType w:val="singleLevel"/>
    <w:tmpl w:val="B279DC27"/>
    <w:lvl w:ilvl="0" w:tentative="0">
      <w:start w:val="1"/>
      <w:numFmt w:val="decimal"/>
      <w:suff w:val="nothing"/>
      <w:lvlText w:val="%1、"/>
      <w:lvlJc w:val="left"/>
    </w:lvl>
  </w:abstractNum>
  <w:abstractNum w:abstractNumId="2">
    <w:nsid w:val="00000005"/>
    <w:multiLevelType w:val="multilevel"/>
    <w:tmpl w:val="00000005"/>
    <w:lvl w:ilvl="0" w:tentative="0">
      <w:start w:val="1"/>
      <w:numFmt w:val="decimal"/>
      <w:pStyle w:val="83"/>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00000006"/>
    <w:multiLevelType w:val="multilevel"/>
    <w:tmpl w:val="00000006"/>
    <w:lvl w:ilvl="0" w:tentative="0">
      <w:start w:val="1"/>
      <w:numFmt w:val="decimal"/>
      <w:lvlText w:val="%1"/>
      <w:lvlJc w:val="left"/>
      <w:pPr>
        <w:tabs>
          <w:tab w:val="left" w:pos="432"/>
        </w:tabs>
        <w:ind w:left="0" w:firstLine="0"/>
      </w:pPr>
      <w:rPr>
        <w:rFonts w:hint="default" w:ascii="Times New Roman" w:hAnsi="Times New Roman" w:cs="Times New Roman"/>
      </w:rPr>
    </w:lvl>
    <w:lvl w:ilvl="1" w:tentative="0">
      <w:start w:val="1"/>
      <w:numFmt w:val="decimal"/>
      <w:lvlText w:val="%1.%2"/>
      <w:lvlJc w:val="left"/>
      <w:pPr>
        <w:tabs>
          <w:tab w:val="left" w:pos="432"/>
        </w:tabs>
        <w:ind w:left="0" w:firstLine="0"/>
      </w:pPr>
      <w:rPr>
        <w:rFonts w:hint="default" w:ascii="Times New Roman" w:hAnsi="Times New Roman" w:cs="Times New Roman"/>
      </w:rPr>
    </w:lvl>
    <w:lvl w:ilvl="2" w:tentative="0">
      <w:start w:val="1"/>
      <w:numFmt w:val="decimal"/>
      <w:lvlText w:val="%1.%2.%3"/>
      <w:lvlJc w:val="left"/>
      <w:pPr>
        <w:tabs>
          <w:tab w:val="left" w:pos="432"/>
        </w:tabs>
        <w:ind w:left="0" w:firstLine="0"/>
      </w:pPr>
    </w:lvl>
    <w:lvl w:ilvl="3" w:tentative="0">
      <w:start w:val="1"/>
      <w:numFmt w:val="decimal"/>
      <w:pStyle w:val="8"/>
      <w:lvlText w:val="%1.%2.%3.%4"/>
      <w:lvlJc w:val="left"/>
      <w:pPr>
        <w:tabs>
          <w:tab w:val="left" w:pos="2275"/>
        </w:tabs>
        <w:ind w:left="1843" w:firstLine="0"/>
      </w:pPr>
      <w:rPr>
        <w:rFonts w:hint="default" w:ascii="宋体" w:hAnsi="宋体" w:eastAsia="宋体" w:cs="宋体"/>
      </w:rPr>
    </w:lvl>
    <w:lvl w:ilvl="4" w:tentative="0">
      <w:start w:val="1"/>
      <w:numFmt w:val="decimal"/>
      <w:lvlText w:val="%1.%2.%3.%4.%5"/>
      <w:lvlJc w:val="left"/>
      <w:pPr>
        <w:tabs>
          <w:tab w:val="left" w:pos="432"/>
        </w:tabs>
        <w:ind w:left="0" w:firstLine="0"/>
      </w:pPr>
      <w:rPr>
        <w:rFonts w:hint="eastAsia"/>
      </w:rPr>
    </w:lvl>
    <w:lvl w:ilvl="5" w:tentative="0">
      <w:start w:val="1"/>
      <w:numFmt w:val="decimal"/>
      <w:lvlText w:val="%1.%2.%3.%4.%5.%6"/>
      <w:lvlJc w:val="left"/>
      <w:pPr>
        <w:tabs>
          <w:tab w:val="left" w:pos="432"/>
        </w:tabs>
        <w:ind w:left="0" w:firstLine="0"/>
      </w:pPr>
      <w:rPr>
        <w:rFonts w:hint="eastAsia"/>
      </w:rPr>
    </w:lvl>
    <w:lvl w:ilvl="6" w:tentative="0">
      <w:start w:val="1"/>
      <w:numFmt w:val="decimal"/>
      <w:lvlText w:val="%1.%2.%3.%4.%5.%6.%7"/>
      <w:lvlJc w:val="left"/>
      <w:pPr>
        <w:tabs>
          <w:tab w:val="left" w:pos="432"/>
        </w:tabs>
        <w:ind w:left="0" w:firstLine="0"/>
      </w:pPr>
      <w:rPr>
        <w:rFonts w:hint="eastAsia"/>
      </w:rPr>
    </w:lvl>
    <w:lvl w:ilvl="7" w:tentative="0">
      <w:start w:val="1"/>
      <w:numFmt w:val="decimal"/>
      <w:lvlText w:val="%1.%2.%3.%4.%5.%6.%7.%8"/>
      <w:lvlJc w:val="left"/>
      <w:pPr>
        <w:tabs>
          <w:tab w:val="left" w:pos="432"/>
        </w:tabs>
        <w:ind w:left="0" w:firstLine="0"/>
      </w:pPr>
      <w:rPr>
        <w:rFonts w:hint="eastAsia"/>
      </w:rPr>
    </w:lvl>
    <w:lvl w:ilvl="8" w:tentative="0">
      <w:start w:val="1"/>
      <w:numFmt w:val="decimal"/>
      <w:lvlText w:val="%1.%2.%3.%4.%5.%6.%7.%8.%9"/>
      <w:lvlJc w:val="left"/>
      <w:pPr>
        <w:tabs>
          <w:tab w:val="left" w:pos="432"/>
        </w:tabs>
        <w:ind w:left="0" w:firstLine="0"/>
      </w:pPr>
      <w:rPr>
        <w:rFonts w:hint="eastAsia"/>
      </w:rPr>
    </w:lvl>
  </w:abstractNum>
  <w:abstractNum w:abstractNumId="4">
    <w:nsid w:val="420C153B"/>
    <w:multiLevelType w:val="multilevel"/>
    <w:tmpl w:val="420C153B"/>
    <w:lvl w:ilvl="0" w:tentative="0">
      <w:start w:val="1"/>
      <w:numFmt w:val="decimal"/>
      <w:pStyle w:val="81"/>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yNTVjYTQ4NGI2NTUxY2M0N2Q1MmY4NGI5ZGY4YWEifQ=="/>
  </w:docVars>
  <w:rsids>
    <w:rsidRoot w:val="00380639"/>
    <w:rsid w:val="000008BB"/>
    <w:rsid w:val="00001D30"/>
    <w:rsid w:val="000058D4"/>
    <w:rsid w:val="00006A49"/>
    <w:rsid w:val="00020B59"/>
    <w:rsid w:val="00021065"/>
    <w:rsid w:val="000215CD"/>
    <w:rsid w:val="00024D5D"/>
    <w:rsid w:val="000273CC"/>
    <w:rsid w:val="00031292"/>
    <w:rsid w:val="00034C66"/>
    <w:rsid w:val="00040320"/>
    <w:rsid w:val="00046B8D"/>
    <w:rsid w:val="000504F3"/>
    <w:rsid w:val="00050866"/>
    <w:rsid w:val="00052659"/>
    <w:rsid w:val="00052A74"/>
    <w:rsid w:val="000543C0"/>
    <w:rsid w:val="00060CC6"/>
    <w:rsid w:val="00061BC4"/>
    <w:rsid w:val="00064EDF"/>
    <w:rsid w:val="00065AF1"/>
    <w:rsid w:val="000727DC"/>
    <w:rsid w:val="000748BD"/>
    <w:rsid w:val="000762FD"/>
    <w:rsid w:val="00080B00"/>
    <w:rsid w:val="0008181C"/>
    <w:rsid w:val="000840EB"/>
    <w:rsid w:val="000844B8"/>
    <w:rsid w:val="000857AD"/>
    <w:rsid w:val="00087C07"/>
    <w:rsid w:val="0009299F"/>
    <w:rsid w:val="000A328B"/>
    <w:rsid w:val="000A76D4"/>
    <w:rsid w:val="000A7B52"/>
    <w:rsid w:val="000B0868"/>
    <w:rsid w:val="000B0E57"/>
    <w:rsid w:val="000B4281"/>
    <w:rsid w:val="000B6281"/>
    <w:rsid w:val="000C07B6"/>
    <w:rsid w:val="000C10F9"/>
    <w:rsid w:val="000C24D8"/>
    <w:rsid w:val="000C31D2"/>
    <w:rsid w:val="000C3DA7"/>
    <w:rsid w:val="000C5EDE"/>
    <w:rsid w:val="000C5FB1"/>
    <w:rsid w:val="000D0A72"/>
    <w:rsid w:val="000D5C19"/>
    <w:rsid w:val="000E1E7D"/>
    <w:rsid w:val="000E3FFF"/>
    <w:rsid w:val="000E4114"/>
    <w:rsid w:val="000E4573"/>
    <w:rsid w:val="000E47ED"/>
    <w:rsid w:val="000E5402"/>
    <w:rsid w:val="000E7B1F"/>
    <w:rsid w:val="000F7736"/>
    <w:rsid w:val="00102DDF"/>
    <w:rsid w:val="001041A8"/>
    <w:rsid w:val="001042F8"/>
    <w:rsid w:val="0010529D"/>
    <w:rsid w:val="001063AD"/>
    <w:rsid w:val="00110489"/>
    <w:rsid w:val="0011157D"/>
    <w:rsid w:val="001120F0"/>
    <w:rsid w:val="00113D48"/>
    <w:rsid w:val="00114FAC"/>
    <w:rsid w:val="00122A01"/>
    <w:rsid w:val="00123832"/>
    <w:rsid w:val="001256A1"/>
    <w:rsid w:val="00125CD7"/>
    <w:rsid w:val="00126672"/>
    <w:rsid w:val="001306AB"/>
    <w:rsid w:val="001371AA"/>
    <w:rsid w:val="00144C30"/>
    <w:rsid w:val="0015004D"/>
    <w:rsid w:val="001537A8"/>
    <w:rsid w:val="00154011"/>
    <w:rsid w:val="00157014"/>
    <w:rsid w:val="001570FF"/>
    <w:rsid w:val="00162876"/>
    <w:rsid w:val="001720A2"/>
    <w:rsid w:val="00176C18"/>
    <w:rsid w:val="0017726D"/>
    <w:rsid w:val="0017751F"/>
    <w:rsid w:val="00183B1F"/>
    <w:rsid w:val="001904B5"/>
    <w:rsid w:val="00192DE1"/>
    <w:rsid w:val="00196BFB"/>
    <w:rsid w:val="0019738A"/>
    <w:rsid w:val="001A0B01"/>
    <w:rsid w:val="001A29C6"/>
    <w:rsid w:val="001A355D"/>
    <w:rsid w:val="001A41E2"/>
    <w:rsid w:val="001B55CF"/>
    <w:rsid w:val="001B5B64"/>
    <w:rsid w:val="001C44E4"/>
    <w:rsid w:val="001E1F09"/>
    <w:rsid w:val="001E366B"/>
    <w:rsid w:val="001E6C86"/>
    <w:rsid w:val="001F44AB"/>
    <w:rsid w:val="001F5DC9"/>
    <w:rsid w:val="001F6EE1"/>
    <w:rsid w:val="002016CD"/>
    <w:rsid w:val="00201DA1"/>
    <w:rsid w:val="00205709"/>
    <w:rsid w:val="00210190"/>
    <w:rsid w:val="0021664D"/>
    <w:rsid w:val="00217009"/>
    <w:rsid w:val="0022017C"/>
    <w:rsid w:val="002204B8"/>
    <w:rsid w:val="002213FF"/>
    <w:rsid w:val="00222CE9"/>
    <w:rsid w:val="00231EDF"/>
    <w:rsid w:val="002333A4"/>
    <w:rsid w:val="00240B18"/>
    <w:rsid w:val="002410F1"/>
    <w:rsid w:val="00241F8C"/>
    <w:rsid w:val="00243554"/>
    <w:rsid w:val="00243B91"/>
    <w:rsid w:val="00244747"/>
    <w:rsid w:val="00245594"/>
    <w:rsid w:val="00246805"/>
    <w:rsid w:val="002535F4"/>
    <w:rsid w:val="002542AE"/>
    <w:rsid w:val="00262BBD"/>
    <w:rsid w:val="002651DB"/>
    <w:rsid w:val="002668F5"/>
    <w:rsid w:val="002678CD"/>
    <w:rsid w:val="00271CE5"/>
    <w:rsid w:val="00276CD2"/>
    <w:rsid w:val="002827C8"/>
    <w:rsid w:val="00283776"/>
    <w:rsid w:val="00285965"/>
    <w:rsid w:val="00286F6E"/>
    <w:rsid w:val="00291AD7"/>
    <w:rsid w:val="002928AD"/>
    <w:rsid w:val="002932D7"/>
    <w:rsid w:val="00294EF4"/>
    <w:rsid w:val="00295B1D"/>
    <w:rsid w:val="00296707"/>
    <w:rsid w:val="002A2C7F"/>
    <w:rsid w:val="002A497F"/>
    <w:rsid w:val="002B2005"/>
    <w:rsid w:val="002B66C2"/>
    <w:rsid w:val="002C547A"/>
    <w:rsid w:val="002C5E0C"/>
    <w:rsid w:val="002C7557"/>
    <w:rsid w:val="002D51D9"/>
    <w:rsid w:val="002E04AD"/>
    <w:rsid w:val="002E4BDE"/>
    <w:rsid w:val="002E5531"/>
    <w:rsid w:val="002E5754"/>
    <w:rsid w:val="002E628F"/>
    <w:rsid w:val="002E6C03"/>
    <w:rsid w:val="002E7221"/>
    <w:rsid w:val="002F2B45"/>
    <w:rsid w:val="002F65A6"/>
    <w:rsid w:val="0030166B"/>
    <w:rsid w:val="00303F39"/>
    <w:rsid w:val="003064BF"/>
    <w:rsid w:val="003068E1"/>
    <w:rsid w:val="00310E8D"/>
    <w:rsid w:val="0031163F"/>
    <w:rsid w:val="00313AC9"/>
    <w:rsid w:val="00315818"/>
    <w:rsid w:val="00316020"/>
    <w:rsid w:val="00316A8D"/>
    <w:rsid w:val="00320629"/>
    <w:rsid w:val="00321B2D"/>
    <w:rsid w:val="00324C05"/>
    <w:rsid w:val="00327CB1"/>
    <w:rsid w:val="00335F54"/>
    <w:rsid w:val="00342D8D"/>
    <w:rsid w:val="00345F70"/>
    <w:rsid w:val="00346AB2"/>
    <w:rsid w:val="00347277"/>
    <w:rsid w:val="003476A4"/>
    <w:rsid w:val="003479F2"/>
    <w:rsid w:val="00353D9B"/>
    <w:rsid w:val="00354BC8"/>
    <w:rsid w:val="00354CC8"/>
    <w:rsid w:val="003557D1"/>
    <w:rsid w:val="00356F1A"/>
    <w:rsid w:val="003618C5"/>
    <w:rsid w:val="00366B7E"/>
    <w:rsid w:val="00366B96"/>
    <w:rsid w:val="00366EBB"/>
    <w:rsid w:val="003704D4"/>
    <w:rsid w:val="003710DC"/>
    <w:rsid w:val="00380639"/>
    <w:rsid w:val="003918ED"/>
    <w:rsid w:val="00392B7B"/>
    <w:rsid w:val="003964BF"/>
    <w:rsid w:val="003968B2"/>
    <w:rsid w:val="003A0A90"/>
    <w:rsid w:val="003A3645"/>
    <w:rsid w:val="003B0DC2"/>
    <w:rsid w:val="003C04B7"/>
    <w:rsid w:val="003C1263"/>
    <w:rsid w:val="003C4022"/>
    <w:rsid w:val="003C77B0"/>
    <w:rsid w:val="003D2EBD"/>
    <w:rsid w:val="003D444C"/>
    <w:rsid w:val="003D54B6"/>
    <w:rsid w:val="003E3682"/>
    <w:rsid w:val="003E648B"/>
    <w:rsid w:val="003E71C9"/>
    <w:rsid w:val="003E77A8"/>
    <w:rsid w:val="003F0B87"/>
    <w:rsid w:val="003F473B"/>
    <w:rsid w:val="003F5A48"/>
    <w:rsid w:val="003F5F2A"/>
    <w:rsid w:val="0040447F"/>
    <w:rsid w:val="0040604B"/>
    <w:rsid w:val="00411B5F"/>
    <w:rsid w:val="004124C5"/>
    <w:rsid w:val="0041322A"/>
    <w:rsid w:val="00413C77"/>
    <w:rsid w:val="00415674"/>
    <w:rsid w:val="0041772E"/>
    <w:rsid w:val="004177F6"/>
    <w:rsid w:val="00417EF4"/>
    <w:rsid w:val="00423182"/>
    <w:rsid w:val="00423264"/>
    <w:rsid w:val="00423C6D"/>
    <w:rsid w:val="00426684"/>
    <w:rsid w:val="00426F4F"/>
    <w:rsid w:val="00440DB6"/>
    <w:rsid w:val="00441424"/>
    <w:rsid w:val="004468EA"/>
    <w:rsid w:val="004606FA"/>
    <w:rsid w:val="004661D0"/>
    <w:rsid w:val="00470080"/>
    <w:rsid w:val="00471E87"/>
    <w:rsid w:val="004722D4"/>
    <w:rsid w:val="00477DE0"/>
    <w:rsid w:val="0048027D"/>
    <w:rsid w:val="0048354F"/>
    <w:rsid w:val="00484954"/>
    <w:rsid w:val="004A5CEE"/>
    <w:rsid w:val="004A65CA"/>
    <w:rsid w:val="004B0D73"/>
    <w:rsid w:val="004B1ED7"/>
    <w:rsid w:val="004B1F21"/>
    <w:rsid w:val="004B7898"/>
    <w:rsid w:val="004C1C26"/>
    <w:rsid w:val="004C1DB1"/>
    <w:rsid w:val="004C7F44"/>
    <w:rsid w:val="004D6899"/>
    <w:rsid w:val="004E4B20"/>
    <w:rsid w:val="004E4B8F"/>
    <w:rsid w:val="004E50CC"/>
    <w:rsid w:val="004E5160"/>
    <w:rsid w:val="004E5A8C"/>
    <w:rsid w:val="004E79E4"/>
    <w:rsid w:val="004F01A1"/>
    <w:rsid w:val="004F3784"/>
    <w:rsid w:val="00500617"/>
    <w:rsid w:val="00510534"/>
    <w:rsid w:val="005135AD"/>
    <w:rsid w:val="00525CF6"/>
    <w:rsid w:val="005323C7"/>
    <w:rsid w:val="00535E7A"/>
    <w:rsid w:val="00536FA0"/>
    <w:rsid w:val="00542C04"/>
    <w:rsid w:val="00543542"/>
    <w:rsid w:val="00551202"/>
    <w:rsid w:val="00555EA0"/>
    <w:rsid w:val="005567F6"/>
    <w:rsid w:val="00560CCD"/>
    <w:rsid w:val="00561417"/>
    <w:rsid w:val="0056150C"/>
    <w:rsid w:val="005636B7"/>
    <w:rsid w:val="005671EB"/>
    <w:rsid w:val="00572BC4"/>
    <w:rsid w:val="0057574A"/>
    <w:rsid w:val="00581DDA"/>
    <w:rsid w:val="00582871"/>
    <w:rsid w:val="00592EA1"/>
    <w:rsid w:val="0059463A"/>
    <w:rsid w:val="005A2A20"/>
    <w:rsid w:val="005A4347"/>
    <w:rsid w:val="005B5B8C"/>
    <w:rsid w:val="005C1CF5"/>
    <w:rsid w:val="005C6279"/>
    <w:rsid w:val="005C6D4A"/>
    <w:rsid w:val="005D2C1F"/>
    <w:rsid w:val="005E4BBF"/>
    <w:rsid w:val="005E5C25"/>
    <w:rsid w:val="005F076E"/>
    <w:rsid w:val="005F21E4"/>
    <w:rsid w:val="00606614"/>
    <w:rsid w:val="00611091"/>
    <w:rsid w:val="006127E2"/>
    <w:rsid w:val="006140F3"/>
    <w:rsid w:val="00614E15"/>
    <w:rsid w:val="00615849"/>
    <w:rsid w:val="0062070D"/>
    <w:rsid w:val="006301F6"/>
    <w:rsid w:val="006341F4"/>
    <w:rsid w:val="006347E3"/>
    <w:rsid w:val="0064143E"/>
    <w:rsid w:val="00643272"/>
    <w:rsid w:val="006517D1"/>
    <w:rsid w:val="006518F4"/>
    <w:rsid w:val="00654100"/>
    <w:rsid w:val="00660FA3"/>
    <w:rsid w:val="0066534D"/>
    <w:rsid w:val="006665B6"/>
    <w:rsid w:val="00671C80"/>
    <w:rsid w:val="0067265F"/>
    <w:rsid w:val="00682A41"/>
    <w:rsid w:val="00682BE4"/>
    <w:rsid w:val="006873D4"/>
    <w:rsid w:val="00691BB2"/>
    <w:rsid w:val="00697D9C"/>
    <w:rsid w:val="006A2835"/>
    <w:rsid w:val="006A733B"/>
    <w:rsid w:val="006B74AC"/>
    <w:rsid w:val="006C0066"/>
    <w:rsid w:val="006C35E5"/>
    <w:rsid w:val="006C5FFB"/>
    <w:rsid w:val="006D010E"/>
    <w:rsid w:val="006D026C"/>
    <w:rsid w:val="006D68BF"/>
    <w:rsid w:val="006D6F3B"/>
    <w:rsid w:val="006E0363"/>
    <w:rsid w:val="006E3F73"/>
    <w:rsid w:val="006E7F42"/>
    <w:rsid w:val="006F01B7"/>
    <w:rsid w:val="00704308"/>
    <w:rsid w:val="00704791"/>
    <w:rsid w:val="007110C2"/>
    <w:rsid w:val="00712355"/>
    <w:rsid w:val="00712B48"/>
    <w:rsid w:val="007200AE"/>
    <w:rsid w:val="00720C4E"/>
    <w:rsid w:val="00727BF5"/>
    <w:rsid w:val="00727E10"/>
    <w:rsid w:val="007309B8"/>
    <w:rsid w:val="00730FFB"/>
    <w:rsid w:val="0073335F"/>
    <w:rsid w:val="0073352E"/>
    <w:rsid w:val="00735FAA"/>
    <w:rsid w:val="00736459"/>
    <w:rsid w:val="00742A1F"/>
    <w:rsid w:val="00743BB3"/>
    <w:rsid w:val="007449A7"/>
    <w:rsid w:val="007523BA"/>
    <w:rsid w:val="007526A9"/>
    <w:rsid w:val="007531A8"/>
    <w:rsid w:val="00754BE8"/>
    <w:rsid w:val="007557BE"/>
    <w:rsid w:val="007557F3"/>
    <w:rsid w:val="00755DD3"/>
    <w:rsid w:val="00757B9E"/>
    <w:rsid w:val="0076018B"/>
    <w:rsid w:val="007618B4"/>
    <w:rsid w:val="00770D62"/>
    <w:rsid w:val="007743BA"/>
    <w:rsid w:val="00774D8A"/>
    <w:rsid w:val="007800D1"/>
    <w:rsid w:val="00781310"/>
    <w:rsid w:val="007813BD"/>
    <w:rsid w:val="00783DB2"/>
    <w:rsid w:val="00785DA6"/>
    <w:rsid w:val="00786B7D"/>
    <w:rsid w:val="00797BAC"/>
    <w:rsid w:val="007A1192"/>
    <w:rsid w:val="007A338F"/>
    <w:rsid w:val="007A4B2F"/>
    <w:rsid w:val="007A6F6D"/>
    <w:rsid w:val="007B14F5"/>
    <w:rsid w:val="007B4BDA"/>
    <w:rsid w:val="007B58BD"/>
    <w:rsid w:val="007C4329"/>
    <w:rsid w:val="007C6A69"/>
    <w:rsid w:val="007E513E"/>
    <w:rsid w:val="007E62A2"/>
    <w:rsid w:val="007F114E"/>
    <w:rsid w:val="007F5931"/>
    <w:rsid w:val="008009F4"/>
    <w:rsid w:val="00801FC9"/>
    <w:rsid w:val="0080395C"/>
    <w:rsid w:val="0080516A"/>
    <w:rsid w:val="008105C3"/>
    <w:rsid w:val="0081268E"/>
    <w:rsid w:val="00813D5E"/>
    <w:rsid w:val="008254C4"/>
    <w:rsid w:val="00833C65"/>
    <w:rsid w:val="00834F21"/>
    <w:rsid w:val="00837F58"/>
    <w:rsid w:val="00845A54"/>
    <w:rsid w:val="008462BC"/>
    <w:rsid w:val="0085107F"/>
    <w:rsid w:val="00851A44"/>
    <w:rsid w:val="00851E79"/>
    <w:rsid w:val="00853889"/>
    <w:rsid w:val="0085588A"/>
    <w:rsid w:val="00855C4D"/>
    <w:rsid w:val="00863763"/>
    <w:rsid w:val="0086412D"/>
    <w:rsid w:val="00881245"/>
    <w:rsid w:val="00883115"/>
    <w:rsid w:val="0088678F"/>
    <w:rsid w:val="00886A4A"/>
    <w:rsid w:val="00887333"/>
    <w:rsid w:val="0089189B"/>
    <w:rsid w:val="0089329A"/>
    <w:rsid w:val="00893BFC"/>
    <w:rsid w:val="00895913"/>
    <w:rsid w:val="008A287D"/>
    <w:rsid w:val="008A7C4C"/>
    <w:rsid w:val="008B1413"/>
    <w:rsid w:val="008B4243"/>
    <w:rsid w:val="008B5CFB"/>
    <w:rsid w:val="008C0C46"/>
    <w:rsid w:val="008C158B"/>
    <w:rsid w:val="008C7568"/>
    <w:rsid w:val="008D11B5"/>
    <w:rsid w:val="008D1987"/>
    <w:rsid w:val="008D313A"/>
    <w:rsid w:val="008E004D"/>
    <w:rsid w:val="008E1AB6"/>
    <w:rsid w:val="008E3D03"/>
    <w:rsid w:val="008E6B0B"/>
    <w:rsid w:val="008E7F96"/>
    <w:rsid w:val="008F2431"/>
    <w:rsid w:val="008F65B8"/>
    <w:rsid w:val="008F693A"/>
    <w:rsid w:val="008F7C08"/>
    <w:rsid w:val="0090086A"/>
    <w:rsid w:val="00902452"/>
    <w:rsid w:val="009032CE"/>
    <w:rsid w:val="009051E2"/>
    <w:rsid w:val="00910449"/>
    <w:rsid w:val="009126B7"/>
    <w:rsid w:val="00914B42"/>
    <w:rsid w:val="00916396"/>
    <w:rsid w:val="00920750"/>
    <w:rsid w:val="00924A34"/>
    <w:rsid w:val="009252E4"/>
    <w:rsid w:val="0092562C"/>
    <w:rsid w:val="0093610F"/>
    <w:rsid w:val="00936D28"/>
    <w:rsid w:val="00937E2B"/>
    <w:rsid w:val="00943667"/>
    <w:rsid w:val="009450C7"/>
    <w:rsid w:val="009531B4"/>
    <w:rsid w:val="009556EA"/>
    <w:rsid w:val="0097126D"/>
    <w:rsid w:val="00972837"/>
    <w:rsid w:val="00973A2B"/>
    <w:rsid w:val="00977502"/>
    <w:rsid w:val="00977A24"/>
    <w:rsid w:val="009808C0"/>
    <w:rsid w:val="00983F91"/>
    <w:rsid w:val="009857B8"/>
    <w:rsid w:val="009871AD"/>
    <w:rsid w:val="009912B9"/>
    <w:rsid w:val="009971C4"/>
    <w:rsid w:val="00997826"/>
    <w:rsid w:val="009A0CC8"/>
    <w:rsid w:val="009A31A4"/>
    <w:rsid w:val="009A58BB"/>
    <w:rsid w:val="009B11BC"/>
    <w:rsid w:val="009B6E93"/>
    <w:rsid w:val="009C75A1"/>
    <w:rsid w:val="009D1A60"/>
    <w:rsid w:val="009E1C5E"/>
    <w:rsid w:val="009E2CF6"/>
    <w:rsid w:val="009E342B"/>
    <w:rsid w:val="009E74C0"/>
    <w:rsid w:val="009F2694"/>
    <w:rsid w:val="009F46A6"/>
    <w:rsid w:val="009F5656"/>
    <w:rsid w:val="00A00657"/>
    <w:rsid w:val="00A0249E"/>
    <w:rsid w:val="00A024DA"/>
    <w:rsid w:val="00A0312C"/>
    <w:rsid w:val="00A036E0"/>
    <w:rsid w:val="00A07494"/>
    <w:rsid w:val="00A107DF"/>
    <w:rsid w:val="00A12741"/>
    <w:rsid w:val="00A12927"/>
    <w:rsid w:val="00A1476E"/>
    <w:rsid w:val="00A16FAE"/>
    <w:rsid w:val="00A17DD0"/>
    <w:rsid w:val="00A20B85"/>
    <w:rsid w:val="00A21D14"/>
    <w:rsid w:val="00A231DA"/>
    <w:rsid w:val="00A31170"/>
    <w:rsid w:val="00A31FBA"/>
    <w:rsid w:val="00A31FF4"/>
    <w:rsid w:val="00A33CDB"/>
    <w:rsid w:val="00A41121"/>
    <w:rsid w:val="00A42748"/>
    <w:rsid w:val="00A44C0D"/>
    <w:rsid w:val="00A45194"/>
    <w:rsid w:val="00A46A42"/>
    <w:rsid w:val="00A46FFD"/>
    <w:rsid w:val="00A50C7C"/>
    <w:rsid w:val="00A5120B"/>
    <w:rsid w:val="00A5140D"/>
    <w:rsid w:val="00A52186"/>
    <w:rsid w:val="00A53F13"/>
    <w:rsid w:val="00A5492F"/>
    <w:rsid w:val="00A554C7"/>
    <w:rsid w:val="00A564FA"/>
    <w:rsid w:val="00A60735"/>
    <w:rsid w:val="00A60F2B"/>
    <w:rsid w:val="00A6244D"/>
    <w:rsid w:val="00A629FD"/>
    <w:rsid w:val="00A63959"/>
    <w:rsid w:val="00A65FA9"/>
    <w:rsid w:val="00A66766"/>
    <w:rsid w:val="00A6779D"/>
    <w:rsid w:val="00A7230D"/>
    <w:rsid w:val="00A7540A"/>
    <w:rsid w:val="00A844AC"/>
    <w:rsid w:val="00A84753"/>
    <w:rsid w:val="00A900EA"/>
    <w:rsid w:val="00A93585"/>
    <w:rsid w:val="00A941A2"/>
    <w:rsid w:val="00A9475F"/>
    <w:rsid w:val="00A95FF5"/>
    <w:rsid w:val="00AA3CEC"/>
    <w:rsid w:val="00AA5C80"/>
    <w:rsid w:val="00AB14CB"/>
    <w:rsid w:val="00AB3F1B"/>
    <w:rsid w:val="00AB504C"/>
    <w:rsid w:val="00AB6EA9"/>
    <w:rsid w:val="00AC015B"/>
    <w:rsid w:val="00AC2181"/>
    <w:rsid w:val="00AC4FAA"/>
    <w:rsid w:val="00AC6651"/>
    <w:rsid w:val="00AD558A"/>
    <w:rsid w:val="00AE007D"/>
    <w:rsid w:val="00AE33FB"/>
    <w:rsid w:val="00AE56FE"/>
    <w:rsid w:val="00AE6531"/>
    <w:rsid w:val="00AE7855"/>
    <w:rsid w:val="00AE7EFC"/>
    <w:rsid w:val="00AF5027"/>
    <w:rsid w:val="00B06B9C"/>
    <w:rsid w:val="00B0717D"/>
    <w:rsid w:val="00B074D6"/>
    <w:rsid w:val="00B1040D"/>
    <w:rsid w:val="00B14FF8"/>
    <w:rsid w:val="00B1638E"/>
    <w:rsid w:val="00B20F68"/>
    <w:rsid w:val="00B210F9"/>
    <w:rsid w:val="00B235AB"/>
    <w:rsid w:val="00B3561F"/>
    <w:rsid w:val="00B35642"/>
    <w:rsid w:val="00B414CC"/>
    <w:rsid w:val="00B41F93"/>
    <w:rsid w:val="00B44396"/>
    <w:rsid w:val="00B51B83"/>
    <w:rsid w:val="00B53BEE"/>
    <w:rsid w:val="00B60803"/>
    <w:rsid w:val="00B62065"/>
    <w:rsid w:val="00B646AA"/>
    <w:rsid w:val="00B64A7E"/>
    <w:rsid w:val="00B65073"/>
    <w:rsid w:val="00B701B7"/>
    <w:rsid w:val="00B70AD3"/>
    <w:rsid w:val="00B7162B"/>
    <w:rsid w:val="00B71A6B"/>
    <w:rsid w:val="00B758F4"/>
    <w:rsid w:val="00B82A61"/>
    <w:rsid w:val="00B82D89"/>
    <w:rsid w:val="00B914C8"/>
    <w:rsid w:val="00B9287E"/>
    <w:rsid w:val="00B93F2F"/>
    <w:rsid w:val="00B95C4C"/>
    <w:rsid w:val="00B96102"/>
    <w:rsid w:val="00B9762A"/>
    <w:rsid w:val="00BA2818"/>
    <w:rsid w:val="00BA4BCD"/>
    <w:rsid w:val="00BA5ABE"/>
    <w:rsid w:val="00BB02A4"/>
    <w:rsid w:val="00BB2C19"/>
    <w:rsid w:val="00BB55DC"/>
    <w:rsid w:val="00BC32C8"/>
    <w:rsid w:val="00BC6329"/>
    <w:rsid w:val="00BC757B"/>
    <w:rsid w:val="00BD0865"/>
    <w:rsid w:val="00BD1BA1"/>
    <w:rsid w:val="00BD2A9B"/>
    <w:rsid w:val="00BD3BE3"/>
    <w:rsid w:val="00BD5AFB"/>
    <w:rsid w:val="00BD6914"/>
    <w:rsid w:val="00BE0692"/>
    <w:rsid w:val="00BE5596"/>
    <w:rsid w:val="00BE7797"/>
    <w:rsid w:val="00BF0509"/>
    <w:rsid w:val="00BF2C28"/>
    <w:rsid w:val="00BF3763"/>
    <w:rsid w:val="00BF579E"/>
    <w:rsid w:val="00BF6328"/>
    <w:rsid w:val="00BF797D"/>
    <w:rsid w:val="00C01697"/>
    <w:rsid w:val="00C04CF9"/>
    <w:rsid w:val="00C11651"/>
    <w:rsid w:val="00C12D78"/>
    <w:rsid w:val="00C146FF"/>
    <w:rsid w:val="00C15DB3"/>
    <w:rsid w:val="00C166FE"/>
    <w:rsid w:val="00C220CD"/>
    <w:rsid w:val="00C25508"/>
    <w:rsid w:val="00C27BE7"/>
    <w:rsid w:val="00C30327"/>
    <w:rsid w:val="00C34005"/>
    <w:rsid w:val="00C34DAD"/>
    <w:rsid w:val="00C355C1"/>
    <w:rsid w:val="00C41604"/>
    <w:rsid w:val="00C41F25"/>
    <w:rsid w:val="00C44D1E"/>
    <w:rsid w:val="00C4502B"/>
    <w:rsid w:val="00C477A1"/>
    <w:rsid w:val="00C520AA"/>
    <w:rsid w:val="00C525FF"/>
    <w:rsid w:val="00C529E5"/>
    <w:rsid w:val="00C52DCB"/>
    <w:rsid w:val="00C53398"/>
    <w:rsid w:val="00C57851"/>
    <w:rsid w:val="00C57B23"/>
    <w:rsid w:val="00C61534"/>
    <w:rsid w:val="00C616D3"/>
    <w:rsid w:val="00C619B9"/>
    <w:rsid w:val="00C63DCB"/>
    <w:rsid w:val="00C70BD3"/>
    <w:rsid w:val="00C74249"/>
    <w:rsid w:val="00C83800"/>
    <w:rsid w:val="00C86008"/>
    <w:rsid w:val="00C9086E"/>
    <w:rsid w:val="00C92B32"/>
    <w:rsid w:val="00C93930"/>
    <w:rsid w:val="00CA2484"/>
    <w:rsid w:val="00CA4D48"/>
    <w:rsid w:val="00CA52E2"/>
    <w:rsid w:val="00CB0664"/>
    <w:rsid w:val="00CB3751"/>
    <w:rsid w:val="00CB658B"/>
    <w:rsid w:val="00CC2E94"/>
    <w:rsid w:val="00CC6CAF"/>
    <w:rsid w:val="00CD0296"/>
    <w:rsid w:val="00CD0595"/>
    <w:rsid w:val="00CD3D55"/>
    <w:rsid w:val="00CE2683"/>
    <w:rsid w:val="00CE5132"/>
    <w:rsid w:val="00CE72AE"/>
    <w:rsid w:val="00CF0ADC"/>
    <w:rsid w:val="00CF195C"/>
    <w:rsid w:val="00CF40DD"/>
    <w:rsid w:val="00CF6685"/>
    <w:rsid w:val="00CF7405"/>
    <w:rsid w:val="00D0169C"/>
    <w:rsid w:val="00D17BBE"/>
    <w:rsid w:val="00D21C23"/>
    <w:rsid w:val="00D2632A"/>
    <w:rsid w:val="00D30341"/>
    <w:rsid w:val="00D31C90"/>
    <w:rsid w:val="00D328E8"/>
    <w:rsid w:val="00D32D1D"/>
    <w:rsid w:val="00D32ED5"/>
    <w:rsid w:val="00D34221"/>
    <w:rsid w:val="00D3617A"/>
    <w:rsid w:val="00D4199D"/>
    <w:rsid w:val="00D42548"/>
    <w:rsid w:val="00D42F77"/>
    <w:rsid w:val="00D43A94"/>
    <w:rsid w:val="00D53E3C"/>
    <w:rsid w:val="00D62F99"/>
    <w:rsid w:val="00D63A2F"/>
    <w:rsid w:val="00D65C00"/>
    <w:rsid w:val="00D662C2"/>
    <w:rsid w:val="00D77D07"/>
    <w:rsid w:val="00D91648"/>
    <w:rsid w:val="00D949A4"/>
    <w:rsid w:val="00D949CB"/>
    <w:rsid w:val="00D95470"/>
    <w:rsid w:val="00DA7C79"/>
    <w:rsid w:val="00DB2A38"/>
    <w:rsid w:val="00DB322A"/>
    <w:rsid w:val="00DB5AF1"/>
    <w:rsid w:val="00DC39D1"/>
    <w:rsid w:val="00DC3D42"/>
    <w:rsid w:val="00DD0041"/>
    <w:rsid w:val="00DD25AD"/>
    <w:rsid w:val="00DD2F22"/>
    <w:rsid w:val="00DD3D7D"/>
    <w:rsid w:val="00DD7F00"/>
    <w:rsid w:val="00DE2005"/>
    <w:rsid w:val="00DE2194"/>
    <w:rsid w:val="00DE42DB"/>
    <w:rsid w:val="00DE4A3D"/>
    <w:rsid w:val="00DF3269"/>
    <w:rsid w:val="00DF78AC"/>
    <w:rsid w:val="00E01C65"/>
    <w:rsid w:val="00E04598"/>
    <w:rsid w:val="00E15B42"/>
    <w:rsid w:val="00E16D14"/>
    <w:rsid w:val="00E214BD"/>
    <w:rsid w:val="00E25FDF"/>
    <w:rsid w:val="00E2622E"/>
    <w:rsid w:val="00E40FC9"/>
    <w:rsid w:val="00E4198C"/>
    <w:rsid w:val="00E4321F"/>
    <w:rsid w:val="00E434FE"/>
    <w:rsid w:val="00E436E4"/>
    <w:rsid w:val="00E45B90"/>
    <w:rsid w:val="00E46CF2"/>
    <w:rsid w:val="00E46E89"/>
    <w:rsid w:val="00E47827"/>
    <w:rsid w:val="00E5179C"/>
    <w:rsid w:val="00E56A2D"/>
    <w:rsid w:val="00E6379E"/>
    <w:rsid w:val="00E66A03"/>
    <w:rsid w:val="00E71251"/>
    <w:rsid w:val="00E723D4"/>
    <w:rsid w:val="00E742D6"/>
    <w:rsid w:val="00E75C57"/>
    <w:rsid w:val="00E81858"/>
    <w:rsid w:val="00E8256A"/>
    <w:rsid w:val="00E8706F"/>
    <w:rsid w:val="00E87CE4"/>
    <w:rsid w:val="00E90653"/>
    <w:rsid w:val="00EA2C06"/>
    <w:rsid w:val="00EB0E79"/>
    <w:rsid w:val="00EB1E92"/>
    <w:rsid w:val="00EB3AF1"/>
    <w:rsid w:val="00EB43E8"/>
    <w:rsid w:val="00EC1A9D"/>
    <w:rsid w:val="00EC2477"/>
    <w:rsid w:val="00EC66ED"/>
    <w:rsid w:val="00EC6D13"/>
    <w:rsid w:val="00EC7792"/>
    <w:rsid w:val="00EC7E62"/>
    <w:rsid w:val="00ED051E"/>
    <w:rsid w:val="00ED4763"/>
    <w:rsid w:val="00ED6388"/>
    <w:rsid w:val="00EE31E5"/>
    <w:rsid w:val="00EE5A79"/>
    <w:rsid w:val="00EE7D85"/>
    <w:rsid w:val="00EF081F"/>
    <w:rsid w:val="00EF4853"/>
    <w:rsid w:val="00EF6748"/>
    <w:rsid w:val="00F00694"/>
    <w:rsid w:val="00F01BE8"/>
    <w:rsid w:val="00F02E0E"/>
    <w:rsid w:val="00F05477"/>
    <w:rsid w:val="00F05A00"/>
    <w:rsid w:val="00F077BA"/>
    <w:rsid w:val="00F21AA8"/>
    <w:rsid w:val="00F3008F"/>
    <w:rsid w:val="00F309CD"/>
    <w:rsid w:val="00F32FCF"/>
    <w:rsid w:val="00F35BBA"/>
    <w:rsid w:val="00F35C9C"/>
    <w:rsid w:val="00F43DBE"/>
    <w:rsid w:val="00F44F6F"/>
    <w:rsid w:val="00F477F9"/>
    <w:rsid w:val="00F54320"/>
    <w:rsid w:val="00F54E6F"/>
    <w:rsid w:val="00F60C5E"/>
    <w:rsid w:val="00F63CF5"/>
    <w:rsid w:val="00F6770B"/>
    <w:rsid w:val="00F7279A"/>
    <w:rsid w:val="00F746CF"/>
    <w:rsid w:val="00F765B4"/>
    <w:rsid w:val="00F85622"/>
    <w:rsid w:val="00F858A6"/>
    <w:rsid w:val="00F85DB0"/>
    <w:rsid w:val="00F96076"/>
    <w:rsid w:val="00FA1B45"/>
    <w:rsid w:val="00FA1CBA"/>
    <w:rsid w:val="00FA227D"/>
    <w:rsid w:val="00FA3CBF"/>
    <w:rsid w:val="00FA60A2"/>
    <w:rsid w:val="00FA7283"/>
    <w:rsid w:val="00FB0305"/>
    <w:rsid w:val="00FB5B86"/>
    <w:rsid w:val="00FB789A"/>
    <w:rsid w:val="00FC0761"/>
    <w:rsid w:val="00FC2C83"/>
    <w:rsid w:val="00FC3E1B"/>
    <w:rsid w:val="00FC50B3"/>
    <w:rsid w:val="00FC5FF9"/>
    <w:rsid w:val="00FD345C"/>
    <w:rsid w:val="00FD5269"/>
    <w:rsid w:val="00FD52B6"/>
    <w:rsid w:val="00FE3D68"/>
    <w:rsid w:val="00FE57E7"/>
    <w:rsid w:val="00FF0475"/>
    <w:rsid w:val="01040226"/>
    <w:rsid w:val="0109067F"/>
    <w:rsid w:val="010A29DC"/>
    <w:rsid w:val="010D6029"/>
    <w:rsid w:val="010F3362"/>
    <w:rsid w:val="01113D6B"/>
    <w:rsid w:val="01155F13"/>
    <w:rsid w:val="01172A03"/>
    <w:rsid w:val="011C626C"/>
    <w:rsid w:val="012421DB"/>
    <w:rsid w:val="012D21DC"/>
    <w:rsid w:val="01347A59"/>
    <w:rsid w:val="013558C4"/>
    <w:rsid w:val="0136732D"/>
    <w:rsid w:val="013712F7"/>
    <w:rsid w:val="013B4944"/>
    <w:rsid w:val="013C3F0C"/>
    <w:rsid w:val="0140650E"/>
    <w:rsid w:val="014557C2"/>
    <w:rsid w:val="01464A06"/>
    <w:rsid w:val="01473BFB"/>
    <w:rsid w:val="014B08FF"/>
    <w:rsid w:val="014C4DA3"/>
    <w:rsid w:val="014E65EE"/>
    <w:rsid w:val="01536131"/>
    <w:rsid w:val="01545A05"/>
    <w:rsid w:val="0159126E"/>
    <w:rsid w:val="015974C0"/>
    <w:rsid w:val="016025FC"/>
    <w:rsid w:val="01621835"/>
    <w:rsid w:val="01635D69"/>
    <w:rsid w:val="01671BDD"/>
    <w:rsid w:val="016814B1"/>
    <w:rsid w:val="017460A8"/>
    <w:rsid w:val="0176597C"/>
    <w:rsid w:val="017F5A80"/>
    <w:rsid w:val="01802C9E"/>
    <w:rsid w:val="01804A4C"/>
    <w:rsid w:val="018267F2"/>
    <w:rsid w:val="01827E8D"/>
    <w:rsid w:val="01886471"/>
    <w:rsid w:val="018A58CB"/>
    <w:rsid w:val="018E0129"/>
    <w:rsid w:val="018F4C90"/>
    <w:rsid w:val="018F6A3E"/>
    <w:rsid w:val="01922341"/>
    <w:rsid w:val="01946F53"/>
    <w:rsid w:val="019B26CA"/>
    <w:rsid w:val="019D09D5"/>
    <w:rsid w:val="01A22C15"/>
    <w:rsid w:val="01A25B8F"/>
    <w:rsid w:val="01A35C85"/>
    <w:rsid w:val="01A71FD9"/>
    <w:rsid w:val="01AE3368"/>
    <w:rsid w:val="01AF0E8E"/>
    <w:rsid w:val="01B110AA"/>
    <w:rsid w:val="01B42948"/>
    <w:rsid w:val="01B464A4"/>
    <w:rsid w:val="01B46528"/>
    <w:rsid w:val="01BC0B79"/>
    <w:rsid w:val="01C26E13"/>
    <w:rsid w:val="01C35849"/>
    <w:rsid w:val="01C963F3"/>
    <w:rsid w:val="01CB7C65"/>
    <w:rsid w:val="01CD041E"/>
    <w:rsid w:val="01D66A1A"/>
    <w:rsid w:val="01DC07BC"/>
    <w:rsid w:val="01EB45BC"/>
    <w:rsid w:val="01EC5C3E"/>
    <w:rsid w:val="01F05B28"/>
    <w:rsid w:val="01F123AA"/>
    <w:rsid w:val="01F82835"/>
    <w:rsid w:val="01FD42EF"/>
    <w:rsid w:val="01FF3BC3"/>
    <w:rsid w:val="02030277"/>
    <w:rsid w:val="02053FAD"/>
    <w:rsid w:val="02077F54"/>
    <w:rsid w:val="02096E01"/>
    <w:rsid w:val="0214269A"/>
    <w:rsid w:val="0224362A"/>
    <w:rsid w:val="02245C60"/>
    <w:rsid w:val="022E26FA"/>
    <w:rsid w:val="022E44A8"/>
    <w:rsid w:val="023415DD"/>
    <w:rsid w:val="02353C3E"/>
    <w:rsid w:val="023B2226"/>
    <w:rsid w:val="023C172F"/>
    <w:rsid w:val="023C37B3"/>
    <w:rsid w:val="0249021C"/>
    <w:rsid w:val="02531800"/>
    <w:rsid w:val="02581700"/>
    <w:rsid w:val="025D6B3C"/>
    <w:rsid w:val="026914E5"/>
    <w:rsid w:val="02693733"/>
    <w:rsid w:val="026954E1"/>
    <w:rsid w:val="02783976"/>
    <w:rsid w:val="02784DF1"/>
    <w:rsid w:val="02785724"/>
    <w:rsid w:val="027C5214"/>
    <w:rsid w:val="027D2733"/>
    <w:rsid w:val="0280654D"/>
    <w:rsid w:val="02855DA7"/>
    <w:rsid w:val="028A1F79"/>
    <w:rsid w:val="028F31A8"/>
    <w:rsid w:val="02926C46"/>
    <w:rsid w:val="02971D25"/>
    <w:rsid w:val="02973F12"/>
    <w:rsid w:val="029C1412"/>
    <w:rsid w:val="02A12ECC"/>
    <w:rsid w:val="02A14C7A"/>
    <w:rsid w:val="02A46D06"/>
    <w:rsid w:val="02AF383B"/>
    <w:rsid w:val="02B109CD"/>
    <w:rsid w:val="02B80216"/>
    <w:rsid w:val="02C62933"/>
    <w:rsid w:val="02C77096"/>
    <w:rsid w:val="02CE7F46"/>
    <w:rsid w:val="02D059DB"/>
    <w:rsid w:val="02D50DC8"/>
    <w:rsid w:val="02DC76FD"/>
    <w:rsid w:val="02DE4F7A"/>
    <w:rsid w:val="02E158BD"/>
    <w:rsid w:val="02E903CF"/>
    <w:rsid w:val="02EB239A"/>
    <w:rsid w:val="02EF1E8A"/>
    <w:rsid w:val="02F16F2F"/>
    <w:rsid w:val="02F962A4"/>
    <w:rsid w:val="02FA082F"/>
    <w:rsid w:val="02FA19BA"/>
    <w:rsid w:val="02FC6355"/>
    <w:rsid w:val="02FF2BD4"/>
    <w:rsid w:val="030516AD"/>
    <w:rsid w:val="03082DCE"/>
    <w:rsid w:val="030F3F6B"/>
    <w:rsid w:val="031048F7"/>
    <w:rsid w:val="031732D5"/>
    <w:rsid w:val="031C549A"/>
    <w:rsid w:val="03202280"/>
    <w:rsid w:val="03207384"/>
    <w:rsid w:val="03256255"/>
    <w:rsid w:val="032803F5"/>
    <w:rsid w:val="032D650E"/>
    <w:rsid w:val="032F04D8"/>
    <w:rsid w:val="032F2286"/>
    <w:rsid w:val="032F79CA"/>
    <w:rsid w:val="03304250"/>
    <w:rsid w:val="03351867"/>
    <w:rsid w:val="033755DF"/>
    <w:rsid w:val="033864A4"/>
    <w:rsid w:val="033B50CF"/>
    <w:rsid w:val="033B6E7D"/>
    <w:rsid w:val="033F6241"/>
    <w:rsid w:val="03443858"/>
    <w:rsid w:val="03470516"/>
    <w:rsid w:val="0347576E"/>
    <w:rsid w:val="034877EC"/>
    <w:rsid w:val="03493AAE"/>
    <w:rsid w:val="034A5F18"/>
    <w:rsid w:val="03591D27"/>
    <w:rsid w:val="035A307B"/>
    <w:rsid w:val="03630182"/>
    <w:rsid w:val="036839EA"/>
    <w:rsid w:val="03687E8D"/>
    <w:rsid w:val="037F7B4D"/>
    <w:rsid w:val="03870314"/>
    <w:rsid w:val="038A35AE"/>
    <w:rsid w:val="038B5E3F"/>
    <w:rsid w:val="038D0D65"/>
    <w:rsid w:val="0397607D"/>
    <w:rsid w:val="039C3694"/>
    <w:rsid w:val="03A03184"/>
    <w:rsid w:val="03A108D9"/>
    <w:rsid w:val="03A72764"/>
    <w:rsid w:val="03A964DC"/>
    <w:rsid w:val="03AC0A4C"/>
    <w:rsid w:val="03AC7D7B"/>
    <w:rsid w:val="03B60BF9"/>
    <w:rsid w:val="03CA1FE6"/>
    <w:rsid w:val="03D1158F"/>
    <w:rsid w:val="03D177E1"/>
    <w:rsid w:val="03E243B0"/>
    <w:rsid w:val="03EA08A3"/>
    <w:rsid w:val="03FE341B"/>
    <w:rsid w:val="040167A6"/>
    <w:rsid w:val="04051239"/>
    <w:rsid w:val="04064E7A"/>
    <w:rsid w:val="040C0819"/>
    <w:rsid w:val="040C49E8"/>
    <w:rsid w:val="040D5DF4"/>
    <w:rsid w:val="040E6340"/>
    <w:rsid w:val="04137DFA"/>
    <w:rsid w:val="04161698"/>
    <w:rsid w:val="04163A24"/>
    <w:rsid w:val="04165F84"/>
    <w:rsid w:val="041D2A27"/>
    <w:rsid w:val="041D6583"/>
    <w:rsid w:val="04231045"/>
    <w:rsid w:val="04277401"/>
    <w:rsid w:val="042C3211"/>
    <w:rsid w:val="04360C8C"/>
    <w:rsid w:val="043A6318"/>
    <w:rsid w:val="04427E1C"/>
    <w:rsid w:val="04477AA3"/>
    <w:rsid w:val="0449381C"/>
    <w:rsid w:val="044B1342"/>
    <w:rsid w:val="04561A95"/>
    <w:rsid w:val="04596B42"/>
    <w:rsid w:val="045B52FD"/>
    <w:rsid w:val="045F4253"/>
    <w:rsid w:val="046D1D34"/>
    <w:rsid w:val="04732647"/>
    <w:rsid w:val="04740FE2"/>
    <w:rsid w:val="047563BF"/>
    <w:rsid w:val="0477695F"/>
    <w:rsid w:val="047F4595"/>
    <w:rsid w:val="04815D06"/>
    <w:rsid w:val="04836307"/>
    <w:rsid w:val="04854128"/>
    <w:rsid w:val="04907A26"/>
    <w:rsid w:val="0493328A"/>
    <w:rsid w:val="04944CDE"/>
    <w:rsid w:val="049C1B9D"/>
    <w:rsid w:val="04A10F62"/>
    <w:rsid w:val="04A23EC2"/>
    <w:rsid w:val="04A83D0C"/>
    <w:rsid w:val="04AB4D5E"/>
    <w:rsid w:val="04AD0E90"/>
    <w:rsid w:val="04B213C1"/>
    <w:rsid w:val="04B30C95"/>
    <w:rsid w:val="04B34684"/>
    <w:rsid w:val="04B44FB4"/>
    <w:rsid w:val="04B54A0D"/>
    <w:rsid w:val="04BC3FEE"/>
    <w:rsid w:val="04BE61CE"/>
    <w:rsid w:val="04CD7044"/>
    <w:rsid w:val="04CE3D21"/>
    <w:rsid w:val="04D130BC"/>
    <w:rsid w:val="04D330E5"/>
    <w:rsid w:val="04D37589"/>
    <w:rsid w:val="04DA0918"/>
    <w:rsid w:val="04DF195B"/>
    <w:rsid w:val="04E54A85"/>
    <w:rsid w:val="04ED064B"/>
    <w:rsid w:val="04FA4B16"/>
    <w:rsid w:val="04FB4CD1"/>
    <w:rsid w:val="050114FA"/>
    <w:rsid w:val="05062DDC"/>
    <w:rsid w:val="05092FAB"/>
    <w:rsid w:val="05104339"/>
    <w:rsid w:val="05171D61"/>
    <w:rsid w:val="051756C8"/>
    <w:rsid w:val="05177476"/>
    <w:rsid w:val="05195B93"/>
    <w:rsid w:val="051A2577"/>
    <w:rsid w:val="05221E49"/>
    <w:rsid w:val="052C2F85"/>
    <w:rsid w:val="052F763B"/>
    <w:rsid w:val="0531712E"/>
    <w:rsid w:val="053B7608"/>
    <w:rsid w:val="054A784B"/>
    <w:rsid w:val="0550759C"/>
    <w:rsid w:val="05573B42"/>
    <w:rsid w:val="05621037"/>
    <w:rsid w:val="056621AB"/>
    <w:rsid w:val="056B16C9"/>
    <w:rsid w:val="0571425F"/>
    <w:rsid w:val="05726749"/>
    <w:rsid w:val="05732EAA"/>
    <w:rsid w:val="05772978"/>
    <w:rsid w:val="05774986"/>
    <w:rsid w:val="057D537B"/>
    <w:rsid w:val="05816FE5"/>
    <w:rsid w:val="059565ED"/>
    <w:rsid w:val="0596084D"/>
    <w:rsid w:val="059A595C"/>
    <w:rsid w:val="05A14E22"/>
    <w:rsid w:val="05A625A8"/>
    <w:rsid w:val="05B167A8"/>
    <w:rsid w:val="05B178CA"/>
    <w:rsid w:val="05B64D34"/>
    <w:rsid w:val="05B819DC"/>
    <w:rsid w:val="05CD5D86"/>
    <w:rsid w:val="05CF5FA2"/>
    <w:rsid w:val="05D84E57"/>
    <w:rsid w:val="05D9626B"/>
    <w:rsid w:val="05E25CD6"/>
    <w:rsid w:val="05ED6429"/>
    <w:rsid w:val="05EE0224"/>
    <w:rsid w:val="05EF2026"/>
    <w:rsid w:val="05EF3F4F"/>
    <w:rsid w:val="05F05553"/>
    <w:rsid w:val="05F31C91"/>
    <w:rsid w:val="05F439D9"/>
    <w:rsid w:val="05F45A09"/>
    <w:rsid w:val="05F872A7"/>
    <w:rsid w:val="0607573C"/>
    <w:rsid w:val="0607637D"/>
    <w:rsid w:val="060B30F9"/>
    <w:rsid w:val="060D7CF0"/>
    <w:rsid w:val="060F45F1"/>
    <w:rsid w:val="06127C3D"/>
    <w:rsid w:val="061816F7"/>
    <w:rsid w:val="061C56AD"/>
    <w:rsid w:val="06274102"/>
    <w:rsid w:val="062C51A3"/>
    <w:rsid w:val="064029FC"/>
    <w:rsid w:val="06416140"/>
    <w:rsid w:val="064C314F"/>
    <w:rsid w:val="064E5119"/>
    <w:rsid w:val="065546FA"/>
    <w:rsid w:val="06586D23"/>
    <w:rsid w:val="0659538A"/>
    <w:rsid w:val="065A1D10"/>
    <w:rsid w:val="065D35AE"/>
    <w:rsid w:val="06624721"/>
    <w:rsid w:val="066F6E3E"/>
    <w:rsid w:val="067508F8"/>
    <w:rsid w:val="067556BB"/>
    <w:rsid w:val="06770BFA"/>
    <w:rsid w:val="067D155B"/>
    <w:rsid w:val="067E4BBE"/>
    <w:rsid w:val="067F3525"/>
    <w:rsid w:val="067F52D3"/>
    <w:rsid w:val="0680104B"/>
    <w:rsid w:val="06825036"/>
    <w:rsid w:val="0687207F"/>
    <w:rsid w:val="06896151"/>
    <w:rsid w:val="068B1240"/>
    <w:rsid w:val="06935222"/>
    <w:rsid w:val="06952D48"/>
    <w:rsid w:val="069845E6"/>
    <w:rsid w:val="069A3EBB"/>
    <w:rsid w:val="069D3242"/>
    <w:rsid w:val="069F5C03"/>
    <w:rsid w:val="06A67B40"/>
    <w:rsid w:val="06B01175"/>
    <w:rsid w:val="06B13F74"/>
    <w:rsid w:val="06B17456"/>
    <w:rsid w:val="06B238FA"/>
    <w:rsid w:val="06B3650D"/>
    <w:rsid w:val="06B561D6"/>
    <w:rsid w:val="06BC6527"/>
    <w:rsid w:val="06BE3BF5"/>
    <w:rsid w:val="06CD24E2"/>
    <w:rsid w:val="06CD64C7"/>
    <w:rsid w:val="06CE0008"/>
    <w:rsid w:val="06D05B2E"/>
    <w:rsid w:val="06D53145"/>
    <w:rsid w:val="06D575E9"/>
    <w:rsid w:val="06D8407B"/>
    <w:rsid w:val="06DA6DC3"/>
    <w:rsid w:val="06DC324E"/>
    <w:rsid w:val="06DD649D"/>
    <w:rsid w:val="06E62223"/>
    <w:rsid w:val="06E93094"/>
    <w:rsid w:val="06F15AA5"/>
    <w:rsid w:val="06F2699C"/>
    <w:rsid w:val="0700659E"/>
    <w:rsid w:val="07046D38"/>
    <w:rsid w:val="0706045F"/>
    <w:rsid w:val="070677A2"/>
    <w:rsid w:val="0708351A"/>
    <w:rsid w:val="070E48A8"/>
    <w:rsid w:val="070F2388"/>
    <w:rsid w:val="07100621"/>
    <w:rsid w:val="071535E2"/>
    <w:rsid w:val="07153E89"/>
    <w:rsid w:val="071719AF"/>
    <w:rsid w:val="071A149F"/>
    <w:rsid w:val="071C37EB"/>
    <w:rsid w:val="071C6FC5"/>
    <w:rsid w:val="071F0864"/>
    <w:rsid w:val="071F2612"/>
    <w:rsid w:val="0721241B"/>
    <w:rsid w:val="07302A71"/>
    <w:rsid w:val="07306393"/>
    <w:rsid w:val="073065CD"/>
    <w:rsid w:val="07326019"/>
    <w:rsid w:val="07342561"/>
    <w:rsid w:val="07351E35"/>
    <w:rsid w:val="073562D9"/>
    <w:rsid w:val="073A38EF"/>
    <w:rsid w:val="073F0F06"/>
    <w:rsid w:val="07451C8D"/>
    <w:rsid w:val="07462294"/>
    <w:rsid w:val="0749768F"/>
    <w:rsid w:val="074A1D85"/>
    <w:rsid w:val="074D717F"/>
    <w:rsid w:val="07565DCF"/>
    <w:rsid w:val="07581BFA"/>
    <w:rsid w:val="0766087E"/>
    <w:rsid w:val="0768220B"/>
    <w:rsid w:val="0774295E"/>
    <w:rsid w:val="07762B7A"/>
    <w:rsid w:val="077961C6"/>
    <w:rsid w:val="07797F74"/>
    <w:rsid w:val="077B0190"/>
    <w:rsid w:val="077E1A2E"/>
    <w:rsid w:val="07831485"/>
    <w:rsid w:val="078A03D3"/>
    <w:rsid w:val="0798429B"/>
    <w:rsid w:val="079B438E"/>
    <w:rsid w:val="079F2C5C"/>
    <w:rsid w:val="07A019A5"/>
    <w:rsid w:val="07AD40C1"/>
    <w:rsid w:val="07AF1BE8"/>
    <w:rsid w:val="07B62F76"/>
    <w:rsid w:val="07B92A66"/>
    <w:rsid w:val="07BA144F"/>
    <w:rsid w:val="07C338E5"/>
    <w:rsid w:val="07C531B9"/>
    <w:rsid w:val="07CA07CF"/>
    <w:rsid w:val="07CD02C0"/>
    <w:rsid w:val="07D01B5E"/>
    <w:rsid w:val="07D60A8B"/>
    <w:rsid w:val="07D65FD1"/>
    <w:rsid w:val="07DB478B"/>
    <w:rsid w:val="07E21FBD"/>
    <w:rsid w:val="07E86EA8"/>
    <w:rsid w:val="07EC0CD4"/>
    <w:rsid w:val="07F41CF0"/>
    <w:rsid w:val="080812F8"/>
    <w:rsid w:val="080E21B8"/>
    <w:rsid w:val="080F2686"/>
    <w:rsid w:val="081109A8"/>
    <w:rsid w:val="081514B1"/>
    <w:rsid w:val="0818431B"/>
    <w:rsid w:val="081E031A"/>
    <w:rsid w:val="08203D95"/>
    <w:rsid w:val="0822060B"/>
    <w:rsid w:val="082E5202"/>
    <w:rsid w:val="082F0F7A"/>
    <w:rsid w:val="082F3FA6"/>
    <w:rsid w:val="08307798"/>
    <w:rsid w:val="08346591"/>
    <w:rsid w:val="08370761"/>
    <w:rsid w:val="083B16CD"/>
    <w:rsid w:val="083B347B"/>
    <w:rsid w:val="083B791F"/>
    <w:rsid w:val="083D5445"/>
    <w:rsid w:val="08407BB4"/>
    <w:rsid w:val="08420CAE"/>
    <w:rsid w:val="0845254C"/>
    <w:rsid w:val="08510EF1"/>
    <w:rsid w:val="0854278F"/>
    <w:rsid w:val="08591B53"/>
    <w:rsid w:val="085A67E2"/>
    <w:rsid w:val="085D1644"/>
    <w:rsid w:val="085D6735"/>
    <w:rsid w:val="085E716A"/>
    <w:rsid w:val="08624EAC"/>
    <w:rsid w:val="0870581B"/>
    <w:rsid w:val="08712E38"/>
    <w:rsid w:val="08737DB9"/>
    <w:rsid w:val="087405C9"/>
    <w:rsid w:val="08757B76"/>
    <w:rsid w:val="08762705"/>
    <w:rsid w:val="08840248"/>
    <w:rsid w:val="08843074"/>
    <w:rsid w:val="0889068B"/>
    <w:rsid w:val="088F3C5C"/>
    <w:rsid w:val="08901A19"/>
    <w:rsid w:val="08931509"/>
    <w:rsid w:val="08940DDD"/>
    <w:rsid w:val="089706FA"/>
    <w:rsid w:val="08A71AC9"/>
    <w:rsid w:val="08A76D63"/>
    <w:rsid w:val="08AD4545"/>
    <w:rsid w:val="08AE00F1"/>
    <w:rsid w:val="08AE1E9F"/>
    <w:rsid w:val="08B5322E"/>
    <w:rsid w:val="08B86E78"/>
    <w:rsid w:val="08BD1979"/>
    <w:rsid w:val="08D41109"/>
    <w:rsid w:val="08D44E81"/>
    <w:rsid w:val="08DA0EE6"/>
    <w:rsid w:val="08DA2C94"/>
    <w:rsid w:val="08EB59E2"/>
    <w:rsid w:val="08F00C5F"/>
    <w:rsid w:val="08F35AD6"/>
    <w:rsid w:val="08F6060C"/>
    <w:rsid w:val="08F8136C"/>
    <w:rsid w:val="08FA1588"/>
    <w:rsid w:val="08FB0FF2"/>
    <w:rsid w:val="0904072C"/>
    <w:rsid w:val="090E4AC0"/>
    <w:rsid w:val="091C33C7"/>
    <w:rsid w:val="09282E2C"/>
    <w:rsid w:val="092D239F"/>
    <w:rsid w:val="093D3223"/>
    <w:rsid w:val="093E7D5D"/>
    <w:rsid w:val="093F6115"/>
    <w:rsid w:val="09456D66"/>
    <w:rsid w:val="094B1DE4"/>
    <w:rsid w:val="094D790A"/>
    <w:rsid w:val="094E5430"/>
    <w:rsid w:val="094E7586"/>
    <w:rsid w:val="095567BF"/>
    <w:rsid w:val="0958005D"/>
    <w:rsid w:val="095962AF"/>
    <w:rsid w:val="09616F12"/>
    <w:rsid w:val="09717ADB"/>
    <w:rsid w:val="097631A7"/>
    <w:rsid w:val="09774987"/>
    <w:rsid w:val="0979059F"/>
    <w:rsid w:val="097906FF"/>
    <w:rsid w:val="097A4477"/>
    <w:rsid w:val="097F4173"/>
    <w:rsid w:val="098350DA"/>
    <w:rsid w:val="098A290C"/>
    <w:rsid w:val="098D2059"/>
    <w:rsid w:val="098F0CBF"/>
    <w:rsid w:val="098F7F23"/>
    <w:rsid w:val="09964E37"/>
    <w:rsid w:val="09A03EDE"/>
    <w:rsid w:val="09A17C56"/>
    <w:rsid w:val="09A6526C"/>
    <w:rsid w:val="09A84481"/>
    <w:rsid w:val="09AB4631"/>
    <w:rsid w:val="09AB63DF"/>
    <w:rsid w:val="09B56257"/>
    <w:rsid w:val="09BA09D3"/>
    <w:rsid w:val="09BA2AC6"/>
    <w:rsid w:val="09C66BA8"/>
    <w:rsid w:val="09D76990"/>
    <w:rsid w:val="09E23890"/>
    <w:rsid w:val="09E57B43"/>
    <w:rsid w:val="09E651CF"/>
    <w:rsid w:val="09E85885"/>
    <w:rsid w:val="09E87633"/>
    <w:rsid w:val="09EC0EA8"/>
    <w:rsid w:val="09EC7AAD"/>
    <w:rsid w:val="09F3684A"/>
    <w:rsid w:val="09F45FD8"/>
    <w:rsid w:val="09F77E01"/>
    <w:rsid w:val="09FB1114"/>
    <w:rsid w:val="09FE1FDF"/>
    <w:rsid w:val="0A037FC9"/>
    <w:rsid w:val="0A067F0B"/>
    <w:rsid w:val="0A09786A"/>
    <w:rsid w:val="0A0B50CF"/>
    <w:rsid w:val="0A0C1573"/>
    <w:rsid w:val="0A0D52EB"/>
    <w:rsid w:val="0A0F696E"/>
    <w:rsid w:val="0A130EFE"/>
    <w:rsid w:val="0A14667A"/>
    <w:rsid w:val="0A1551DD"/>
    <w:rsid w:val="0A157B0F"/>
    <w:rsid w:val="0A157CFC"/>
    <w:rsid w:val="0A1641A0"/>
    <w:rsid w:val="0A1715EF"/>
    <w:rsid w:val="0A1D5A5C"/>
    <w:rsid w:val="0A2534BF"/>
    <w:rsid w:val="0A256191"/>
    <w:rsid w:val="0A2C39C3"/>
    <w:rsid w:val="0A2C751F"/>
    <w:rsid w:val="0A2D14EA"/>
    <w:rsid w:val="0A310FDA"/>
    <w:rsid w:val="0A3604C6"/>
    <w:rsid w:val="0A413607"/>
    <w:rsid w:val="0A466107"/>
    <w:rsid w:val="0A4707FD"/>
    <w:rsid w:val="0A493CD3"/>
    <w:rsid w:val="0A4A5BF8"/>
    <w:rsid w:val="0A4F76B2"/>
    <w:rsid w:val="0A523BDC"/>
    <w:rsid w:val="0A572A77"/>
    <w:rsid w:val="0A575886"/>
    <w:rsid w:val="0A582BF8"/>
    <w:rsid w:val="0A59408D"/>
    <w:rsid w:val="0A5A31E2"/>
    <w:rsid w:val="0A5F2312"/>
    <w:rsid w:val="0A660F6B"/>
    <w:rsid w:val="0A6749FB"/>
    <w:rsid w:val="0A700171"/>
    <w:rsid w:val="0A7606AD"/>
    <w:rsid w:val="0A770964"/>
    <w:rsid w:val="0A7B2255"/>
    <w:rsid w:val="0A825391"/>
    <w:rsid w:val="0A84735B"/>
    <w:rsid w:val="0A851326"/>
    <w:rsid w:val="0A851FEE"/>
    <w:rsid w:val="0A8A06EA"/>
    <w:rsid w:val="0A8F3F52"/>
    <w:rsid w:val="0A9B62A8"/>
    <w:rsid w:val="0A9E7CF1"/>
    <w:rsid w:val="0AA01CBB"/>
    <w:rsid w:val="0AA865FD"/>
    <w:rsid w:val="0AAB0D8C"/>
    <w:rsid w:val="0AB2675B"/>
    <w:rsid w:val="0AB2676A"/>
    <w:rsid w:val="0AB94823"/>
    <w:rsid w:val="0ABD286D"/>
    <w:rsid w:val="0AC459AA"/>
    <w:rsid w:val="0AC95C2B"/>
    <w:rsid w:val="0ACD78AC"/>
    <w:rsid w:val="0AD221A9"/>
    <w:rsid w:val="0AE1728C"/>
    <w:rsid w:val="0AE22A16"/>
    <w:rsid w:val="0AEA7626"/>
    <w:rsid w:val="0AF3003D"/>
    <w:rsid w:val="0AF81AF7"/>
    <w:rsid w:val="0AFC3A37"/>
    <w:rsid w:val="0AFE6320"/>
    <w:rsid w:val="0AFF69E2"/>
    <w:rsid w:val="0B085BAA"/>
    <w:rsid w:val="0B0A5387"/>
    <w:rsid w:val="0B0F01F5"/>
    <w:rsid w:val="0B112FF9"/>
    <w:rsid w:val="0B145111"/>
    <w:rsid w:val="0B19605C"/>
    <w:rsid w:val="0B1C57E6"/>
    <w:rsid w:val="0B2E4278"/>
    <w:rsid w:val="0B301291"/>
    <w:rsid w:val="0B325009"/>
    <w:rsid w:val="0B380146"/>
    <w:rsid w:val="0B3A2110"/>
    <w:rsid w:val="0B3F3282"/>
    <w:rsid w:val="0B440899"/>
    <w:rsid w:val="0B47423D"/>
    <w:rsid w:val="0B492353"/>
    <w:rsid w:val="0B4D62CD"/>
    <w:rsid w:val="0B4E5BBB"/>
    <w:rsid w:val="0B561090"/>
    <w:rsid w:val="0B587312"/>
    <w:rsid w:val="0B5A4560"/>
    <w:rsid w:val="0B5F099D"/>
    <w:rsid w:val="0B6A4503"/>
    <w:rsid w:val="0B6D31CF"/>
    <w:rsid w:val="0B7671D7"/>
    <w:rsid w:val="0B785A55"/>
    <w:rsid w:val="0B84049C"/>
    <w:rsid w:val="0B8415DD"/>
    <w:rsid w:val="0B8434BD"/>
    <w:rsid w:val="0B84410E"/>
    <w:rsid w:val="0B845139"/>
    <w:rsid w:val="0B882E7B"/>
    <w:rsid w:val="0B8B296C"/>
    <w:rsid w:val="0B8C3FEE"/>
    <w:rsid w:val="0B8D1E38"/>
    <w:rsid w:val="0B995FB0"/>
    <w:rsid w:val="0BA47589"/>
    <w:rsid w:val="0BA53A2D"/>
    <w:rsid w:val="0BAC32BC"/>
    <w:rsid w:val="0BAD643E"/>
    <w:rsid w:val="0BAF0CA7"/>
    <w:rsid w:val="0BB023D2"/>
    <w:rsid w:val="0BB21CA6"/>
    <w:rsid w:val="0BB43C70"/>
    <w:rsid w:val="0BB51797"/>
    <w:rsid w:val="0BBE689D"/>
    <w:rsid w:val="0BC57F35"/>
    <w:rsid w:val="0BCA75E5"/>
    <w:rsid w:val="0BD240F7"/>
    <w:rsid w:val="0BD7795F"/>
    <w:rsid w:val="0BE05BCF"/>
    <w:rsid w:val="0BEA7692"/>
    <w:rsid w:val="0BEB340A"/>
    <w:rsid w:val="0BEF0928"/>
    <w:rsid w:val="0BEF28DF"/>
    <w:rsid w:val="0BEF2EFA"/>
    <w:rsid w:val="0BF56037"/>
    <w:rsid w:val="0BFE313E"/>
    <w:rsid w:val="0C01678A"/>
    <w:rsid w:val="0C026BC4"/>
    <w:rsid w:val="0C060160"/>
    <w:rsid w:val="0C063DA0"/>
    <w:rsid w:val="0C112E71"/>
    <w:rsid w:val="0C126DC0"/>
    <w:rsid w:val="0C186C79"/>
    <w:rsid w:val="0C22507E"/>
    <w:rsid w:val="0C230DF6"/>
    <w:rsid w:val="0C2324B3"/>
    <w:rsid w:val="0C236491"/>
    <w:rsid w:val="0C252478"/>
    <w:rsid w:val="0C2C7CAB"/>
    <w:rsid w:val="0C321039"/>
    <w:rsid w:val="0C322DE7"/>
    <w:rsid w:val="0C34090D"/>
    <w:rsid w:val="0C3628D7"/>
    <w:rsid w:val="0C3930D3"/>
    <w:rsid w:val="0C4030BF"/>
    <w:rsid w:val="0C450D6C"/>
    <w:rsid w:val="0C4612D4"/>
    <w:rsid w:val="0C474AE5"/>
    <w:rsid w:val="0C4C20FB"/>
    <w:rsid w:val="0C4F74F5"/>
    <w:rsid w:val="0C513EC8"/>
    <w:rsid w:val="0C5745FC"/>
    <w:rsid w:val="0C590374"/>
    <w:rsid w:val="0C5E598A"/>
    <w:rsid w:val="0C5F5F03"/>
    <w:rsid w:val="0C607954"/>
    <w:rsid w:val="0C6308E0"/>
    <w:rsid w:val="0C632FA1"/>
    <w:rsid w:val="0C681193"/>
    <w:rsid w:val="0C692CAD"/>
    <w:rsid w:val="0C6D3E1F"/>
    <w:rsid w:val="0C767178"/>
    <w:rsid w:val="0C774C9E"/>
    <w:rsid w:val="0C776A4C"/>
    <w:rsid w:val="0C782EF0"/>
    <w:rsid w:val="0C7927C4"/>
    <w:rsid w:val="0C88659A"/>
    <w:rsid w:val="0C8A0907"/>
    <w:rsid w:val="0C8A49D1"/>
    <w:rsid w:val="0C945850"/>
    <w:rsid w:val="0C963376"/>
    <w:rsid w:val="0C965124"/>
    <w:rsid w:val="0C970C63"/>
    <w:rsid w:val="0C9F05A6"/>
    <w:rsid w:val="0CA75583"/>
    <w:rsid w:val="0CAE1F02"/>
    <w:rsid w:val="0CAF1B78"/>
    <w:rsid w:val="0CAF745A"/>
    <w:rsid w:val="0CB11F5E"/>
    <w:rsid w:val="0CB16B6A"/>
    <w:rsid w:val="0CB3217A"/>
    <w:rsid w:val="0CB33E72"/>
    <w:rsid w:val="0CB41A4E"/>
    <w:rsid w:val="0CB569B0"/>
    <w:rsid w:val="0CB56E1A"/>
    <w:rsid w:val="0CBD4DA7"/>
    <w:rsid w:val="0CBE467B"/>
    <w:rsid w:val="0CC06645"/>
    <w:rsid w:val="0CCB18B4"/>
    <w:rsid w:val="0CCE7E19"/>
    <w:rsid w:val="0CCF4ADA"/>
    <w:rsid w:val="0CD13AC4"/>
    <w:rsid w:val="0CD21B27"/>
    <w:rsid w:val="0CDA4B8F"/>
    <w:rsid w:val="0CDD0FA5"/>
    <w:rsid w:val="0CDD2D53"/>
    <w:rsid w:val="0CE265BB"/>
    <w:rsid w:val="0CE340E1"/>
    <w:rsid w:val="0CEC2F96"/>
    <w:rsid w:val="0CEF2A86"/>
    <w:rsid w:val="0CF602B9"/>
    <w:rsid w:val="0CF70867"/>
    <w:rsid w:val="0D004F1B"/>
    <w:rsid w:val="0D020A0B"/>
    <w:rsid w:val="0D03035E"/>
    <w:rsid w:val="0D046532"/>
    <w:rsid w:val="0D063F04"/>
    <w:rsid w:val="0D083FB4"/>
    <w:rsid w:val="0D0A78C0"/>
    <w:rsid w:val="0D0B0F1C"/>
    <w:rsid w:val="0D0E5602"/>
    <w:rsid w:val="0D104850"/>
    <w:rsid w:val="0D116EA1"/>
    <w:rsid w:val="0D1B1690"/>
    <w:rsid w:val="0D1D1AC4"/>
    <w:rsid w:val="0D233659"/>
    <w:rsid w:val="0D24651D"/>
    <w:rsid w:val="0D2E57AB"/>
    <w:rsid w:val="0D307327"/>
    <w:rsid w:val="0D3A63F7"/>
    <w:rsid w:val="0D3C216F"/>
    <w:rsid w:val="0D3D5C09"/>
    <w:rsid w:val="0D411534"/>
    <w:rsid w:val="0D4252AC"/>
    <w:rsid w:val="0D442DD2"/>
    <w:rsid w:val="0D49488C"/>
    <w:rsid w:val="0D4E3C51"/>
    <w:rsid w:val="0D5374B9"/>
    <w:rsid w:val="0D5643CF"/>
    <w:rsid w:val="0D5648B3"/>
    <w:rsid w:val="0D58062B"/>
    <w:rsid w:val="0D583B72"/>
    <w:rsid w:val="0D584ACF"/>
    <w:rsid w:val="0D5B011C"/>
    <w:rsid w:val="0D5B0F8B"/>
    <w:rsid w:val="0D5C5F1D"/>
    <w:rsid w:val="0D674D12"/>
    <w:rsid w:val="0D6A3369"/>
    <w:rsid w:val="0D7A4A46"/>
    <w:rsid w:val="0D8116C1"/>
    <w:rsid w:val="0D870F11"/>
    <w:rsid w:val="0D9415BC"/>
    <w:rsid w:val="0D9773A6"/>
    <w:rsid w:val="0D9A4661"/>
    <w:rsid w:val="0D9D0734"/>
    <w:rsid w:val="0DA30266"/>
    <w:rsid w:val="0DA31950"/>
    <w:rsid w:val="0DA675E9"/>
    <w:rsid w:val="0DB04880"/>
    <w:rsid w:val="0DB25F8E"/>
    <w:rsid w:val="0DB30451"/>
    <w:rsid w:val="0DB31D06"/>
    <w:rsid w:val="0DCA7661"/>
    <w:rsid w:val="0DCB34F3"/>
    <w:rsid w:val="0DD477D7"/>
    <w:rsid w:val="0DE325EB"/>
    <w:rsid w:val="0DEB5944"/>
    <w:rsid w:val="0DED2F37"/>
    <w:rsid w:val="0DF26B81"/>
    <w:rsid w:val="0DF97F28"/>
    <w:rsid w:val="0DFB73C5"/>
    <w:rsid w:val="0E0921CD"/>
    <w:rsid w:val="0E122ED0"/>
    <w:rsid w:val="0E14332D"/>
    <w:rsid w:val="0E1924B1"/>
    <w:rsid w:val="0E1E218A"/>
    <w:rsid w:val="0E1E3623"/>
    <w:rsid w:val="0E252235"/>
    <w:rsid w:val="0E265A7A"/>
    <w:rsid w:val="0E2B53E4"/>
    <w:rsid w:val="0E2C46B9"/>
    <w:rsid w:val="0E2F5830"/>
    <w:rsid w:val="0E325288"/>
    <w:rsid w:val="0E342E47"/>
    <w:rsid w:val="0E3B512C"/>
    <w:rsid w:val="0E3C12B5"/>
    <w:rsid w:val="0E3C619F"/>
    <w:rsid w:val="0E3E10C3"/>
    <w:rsid w:val="0E455054"/>
    <w:rsid w:val="0E4A266A"/>
    <w:rsid w:val="0E4B0190"/>
    <w:rsid w:val="0E4B0511"/>
    <w:rsid w:val="0E5139F9"/>
    <w:rsid w:val="0E527771"/>
    <w:rsid w:val="0E5C239D"/>
    <w:rsid w:val="0E6306F7"/>
    <w:rsid w:val="0E6438CA"/>
    <w:rsid w:val="0E6A03B4"/>
    <w:rsid w:val="0E6E7B0F"/>
    <w:rsid w:val="0E72571D"/>
    <w:rsid w:val="0E7B6CC7"/>
    <w:rsid w:val="0E7C659C"/>
    <w:rsid w:val="0E7D2A40"/>
    <w:rsid w:val="0E7D5028"/>
    <w:rsid w:val="0E8B6C59"/>
    <w:rsid w:val="0E99714E"/>
    <w:rsid w:val="0EA004DC"/>
    <w:rsid w:val="0EA31CE8"/>
    <w:rsid w:val="0EA35638"/>
    <w:rsid w:val="0EA55AF2"/>
    <w:rsid w:val="0EBB0D57"/>
    <w:rsid w:val="0EC044D7"/>
    <w:rsid w:val="0EC05900"/>
    <w:rsid w:val="0EC118E3"/>
    <w:rsid w:val="0EC17552"/>
    <w:rsid w:val="0EC266A4"/>
    <w:rsid w:val="0EC56195"/>
    <w:rsid w:val="0ECE09E8"/>
    <w:rsid w:val="0ED54342"/>
    <w:rsid w:val="0ED62150"/>
    <w:rsid w:val="0ED63572"/>
    <w:rsid w:val="0EDB7766"/>
    <w:rsid w:val="0EDD528C"/>
    <w:rsid w:val="0EE4440B"/>
    <w:rsid w:val="0EEA5BFB"/>
    <w:rsid w:val="0EF35656"/>
    <w:rsid w:val="0EFA4090"/>
    <w:rsid w:val="0EFE1B28"/>
    <w:rsid w:val="0F052A35"/>
    <w:rsid w:val="0F0C5E0F"/>
    <w:rsid w:val="0F10455E"/>
    <w:rsid w:val="0F124212"/>
    <w:rsid w:val="0F191827"/>
    <w:rsid w:val="0F1E2441"/>
    <w:rsid w:val="0F1E4393"/>
    <w:rsid w:val="0F2A39AE"/>
    <w:rsid w:val="0F2E3D3A"/>
    <w:rsid w:val="0F2F1860"/>
    <w:rsid w:val="0F3D21CF"/>
    <w:rsid w:val="0F452E31"/>
    <w:rsid w:val="0F4548EC"/>
    <w:rsid w:val="0F474DFC"/>
    <w:rsid w:val="0F4E1CE6"/>
    <w:rsid w:val="0F4F5A5E"/>
    <w:rsid w:val="0F551242"/>
    <w:rsid w:val="0F563291"/>
    <w:rsid w:val="0F59068B"/>
    <w:rsid w:val="0F5E1F53"/>
    <w:rsid w:val="0F657030"/>
    <w:rsid w:val="0F773F5A"/>
    <w:rsid w:val="0F784FB5"/>
    <w:rsid w:val="0F7F1F0E"/>
    <w:rsid w:val="0F81030D"/>
    <w:rsid w:val="0F8676D2"/>
    <w:rsid w:val="0F873108"/>
    <w:rsid w:val="0F921590"/>
    <w:rsid w:val="0F9A13CF"/>
    <w:rsid w:val="0F9A317D"/>
    <w:rsid w:val="0F9C1270"/>
    <w:rsid w:val="0FA67D74"/>
    <w:rsid w:val="0FB00BF3"/>
    <w:rsid w:val="0FB861EA"/>
    <w:rsid w:val="0FBF4992"/>
    <w:rsid w:val="0FC93A62"/>
    <w:rsid w:val="0FCC1588"/>
    <w:rsid w:val="0FCF120F"/>
    <w:rsid w:val="0FD348E1"/>
    <w:rsid w:val="0FD3762E"/>
    <w:rsid w:val="0FDC05ED"/>
    <w:rsid w:val="0FDD306A"/>
    <w:rsid w:val="0FDE1CCB"/>
    <w:rsid w:val="0FE10DAC"/>
    <w:rsid w:val="0FE4089C"/>
    <w:rsid w:val="0FE663C2"/>
    <w:rsid w:val="0FEF563D"/>
    <w:rsid w:val="0FF30ADF"/>
    <w:rsid w:val="0FF44DB1"/>
    <w:rsid w:val="0FFB2495"/>
    <w:rsid w:val="0FFC3E38"/>
    <w:rsid w:val="0FFF7484"/>
    <w:rsid w:val="10025C55"/>
    <w:rsid w:val="10044D22"/>
    <w:rsid w:val="10060813"/>
    <w:rsid w:val="100623CE"/>
    <w:rsid w:val="100920B1"/>
    <w:rsid w:val="100A5083"/>
    <w:rsid w:val="100F3B6B"/>
    <w:rsid w:val="10125229"/>
    <w:rsid w:val="10152804"/>
    <w:rsid w:val="101A1D47"/>
    <w:rsid w:val="10243C6D"/>
    <w:rsid w:val="1025478B"/>
    <w:rsid w:val="102B6D6C"/>
    <w:rsid w:val="102C368A"/>
    <w:rsid w:val="103A3A0E"/>
    <w:rsid w:val="103A670E"/>
    <w:rsid w:val="103E7FAD"/>
    <w:rsid w:val="10437371"/>
    <w:rsid w:val="10482BD9"/>
    <w:rsid w:val="10492E4B"/>
    <w:rsid w:val="104A6951"/>
    <w:rsid w:val="10512E39"/>
    <w:rsid w:val="10586A84"/>
    <w:rsid w:val="105E41AB"/>
    <w:rsid w:val="10621DB2"/>
    <w:rsid w:val="10645539"/>
    <w:rsid w:val="10675755"/>
    <w:rsid w:val="10687F12"/>
    <w:rsid w:val="107734BE"/>
    <w:rsid w:val="107C2883"/>
    <w:rsid w:val="107E2A9F"/>
    <w:rsid w:val="10853E2D"/>
    <w:rsid w:val="108943EE"/>
    <w:rsid w:val="108C3A8C"/>
    <w:rsid w:val="108C64B3"/>
    <w:rsid w:val="108C6F6A"/>
    <w:rsid w:val="109154B5"/>
    <w:rsid w:val="109220A6"/>
    <w:rsid w:val="1092654A"/>
    <w:rsid w:val="109B01F2"/>
    <w:rsid w:val="109C4CD3"/>
    <w:rsid w:val="109E4B15"/>
    <w:rsid w:val="10A72D93"/>
    <w:rsid w:val="10A768A9"/>
    <w:rsid w:val="10AD0B8B"/>
    <w:rsid w:val="10B35FD8"/>
    <w:rsid w:val="10B540FC"/>
    <w:rsid w:val="10B65D95"/>
    <w:rsid w:val="10BE07E7"/>
    <w:rsid w:val="10C37306"/>
    <w:rsid w:val="10C37FC2"/>
    <w:rsid w:val="10C430FC"/>
    <w:rsid w:val="10C77FA2"/>
    <w:rsid w:val="10C81DBF"/>
    <w:rsid w:val="10CB7366"/>
    <w:rsid w:val="10D73F5D"/>
    <w:rsid w:val="10D80401"/>
    <w:rsid w:val="10DA4292"/>
    <w:rsid w:val="10DB00CC"/>
    <w:rsid w:val="10DE353E"/>
    <w:rsid w:val="10DE709A"/>
    <w:rsid w:val="10E32902"/>
    <w:rsid w:val="10F16DCD"/>
    <w:rsid w:val="10F25D47"/>
    <w:rsid w:val="10F37004"/>
    <w:rsid w:val="10F92125"/>
    <w:rsid w:val="10FA0833"/>
    <w:rsid w:val="10FE68EE"/>
    <w:rsid w:val="11027C0B"/>
    <w:rsid w:val="110A7E8F"/>
    <w:rsid w:val="110C0891"/>
    <w:rsid w:val="110C205E"/>
    <w:rsid w:val="110C65D0"/>
    <w:rsid w:val="11166833"/>
    <w:rsid w:val="11191B23"/>
    <w:rsid w:val="111C4FB4"/>
    <w:rsid w:val="1122342D"/>
    <w:rsid w:val="11241111"/>
    <w:rsid w:val="11243677"/>
    <w:rsid w:val="112847B9"/>
    <w:rsid w:val="11286567"/>
    <w:rsid w:val="11290C5D"/>
    <w:rsid w:val="11301133"/>
    <w:rsid w:val="113413B0"/>
    <w:rsid w:val="11365128"/>
    <w:rsid w:val="113A4084"/>
    <w:rsid w:val="113D64B6"/>
    <w:rsid w:val="11440578"/>
    <w:rsid w:val="1149286D"/>
    <w:rsid w:val="11494E5B"/>
    <w:rsid w:val="114D4386"/>
    <w:rsid w:val="114E06C3"/>
    <w:rsid w:val="11523B39"/>
    <w:rsid w:val="11590A6C"/>
    <w:rsid w:val="11595098"/>
    <w:rsid w:val="115A7068"/>
    <w:rsid w:val="115B693C"/>
    <w:rsid w:val="1161148D"/>
    <w:rsid w:val="116146C1"/>
    <w:rsid w:val="116457F1"/>
    <w:rsid w:val="11656745"/>
    <w:rsid w:val="11686CAC"/>
    <w:rsid w:val="116E2B13"/>
    <w:rsid w:val="116E70D4"/>
    <w:rsid w:val="1178761E"/>
    <w:rsid w:val="117B766A"/>
    <w:rsid w:val="117F6ACF"/>
    <w:rsid w:val="118045F5"/>
    <w:rsid w:val="11804AF8"/>
    <w:rsid w:val="118C77F1"/>
    <w:rsid w:val="118E286E"/>
    <w:rsid w:val="11916802"/>
    <w:rsid w:val="11960279"/>
    <w:rsid w:val="119965A5"/>
    <w:rsid w:val="119F4A7B"/>
    <w:rsid w:val="11A02BD0"/>
    <w:rsid w:val="11A90EBB"/>
    <w:rsid w:val="11AF148E"/>
    <w:rsid w:val="11AF1B5F"/>
    <w:rsid w:val="11BA7C4C"/>
    <w:rsid w:val="11BD3153"/>
    <w:rsid w:val="11C414B0"/>
    <w:rsid w:val="11C919C6"/>
    <w:rsid w:val="11CB1D14"/>
    <w:rsid w:val="11CC1466"/>
    <w:rsid w:val="11D17BEA"/>
    <w:rsid w:val="11D530B0"/>
    <w:rsid w:val="11EA6D3F"/>
    <w:rsid w:val="11F254F3"/>
    <w:rsid w:val="11F33019"/>
    <w:rsid w:val="11F51BE0"/>
    <w:rsid w:val="11F528ED"/>
    <w:rsid w:val="1218482D"/>
    <w:rsid w:val="121865DB"/>
    <w:rsid w:val="121A2353"/>
    <w:rsid w:val="121C7474"/>
    <w:rsid w:val="121F5BBC"/>
    <w:rsid w:val="12217B86"/>
    <w:rsid w:val="12241424"/>
    <w:rsid w:val="12274A70"/>
    <w:rsid w:val="12282CC2"/>
    <w:rsid w:val="122E7475"/>
    <w:rsid w:val="12415FCD"/>
    <w:rsid w:val="124318AA"/>
    <w:rsid w:val="124364E9"/>
    <w:rsid w:val="12437AFC"/>
    <w:rsid w:val="124C0DF9"/>
    <w:rsid w:val="124D097B"/>
    <w:rsid w:val="12596A1D"/>
    <w:rsid w:val="125A2E59"/>
    <w:rsid w:val="125B6DB2"/>
    <w:rsid w:val="125E4936"/>
    <w:rsid w:val="12635AA8"/>
    <w:rsid w:val="12704669"/>
    <w:rsid w:val="127777A6"/>
    <w:rsid w:val="127F48AC"/>
    <w:rsid w:val="1288550F"/>
    <w:rsid w:val="12891287"/>
    <w:rsid w:val="128D74AE"/>
    <w:rsid w:val="128F2D41"/>
    <w:rsid w:val="12957C2C"/>
    <w:rsid w:val="129C412F"/>
    <w:rsid w:val="12A165D1"/>
    <w:rsid w:val="12A52565"/>
    <w:rsid w:val="12A54313"/>
    <w:rsid w:val="12A8795F"/>
    <w:rsid w:val="12B45DBA"/>
    <w:rsid w:val="12B46304"/>
    <w:rsid w:val="12C0114D"/>
    <w:rsid w:val="12C10A21"/>
    <w:rsid w:val="12C56763"/>
    <w:rsid w:val="12CA3D79"/>
    <w:rsid w:val="12D20E80"/>
    <w:rsid w:val="12D45062"/>
    <w:rsid w:val="12DB2E42"/>
    <w:rsid w:val="12DB5A5B"/>
    <w:rsid w:val="12E14724"/>
    <w:rsid w:val="12EF778D"/>
    <w:rsid w:val="12F01E4B"/>
    <w:rsid w:val="12F31522"/>
    <w:rsid w:val="12F708E7"/>
    <w:rsid w:val="12F76D4C"/>
    <w:rsid w:val="12F9640D"/>
    <w:rsid w:val="12FC7CAB"/>
    <w:rsid w:val="12FE3A23"/>
    <w:rsid w:val="130B672E"/>
    <w:rsid w:val="130E5037"/>
    <w:rsid w:val="131119A8"/>
    <w:rsid w:val="13135912"/>
    <w:rsid w:val="131B45D5"/>
    <w:rsid w:val="131E40C5"/>
    <w:rsid w:val="13201BEB"/>
    <w:rsid w:val="13227BF1"/>
    <w:rsid w:val="13243625"/>
    <w:rsid w:val="1324792E"/>
    <w:rsid w:val="132536A6"/>
    <w:rsid w:val="132F36D0"/>
    <w:rsid w:val="132F62D2"/>
    <w:rsid w:val="13386D2D"/>
    <w:rsid w:val="13390EFF"/>
    <w:rsid w:val="133B4C77"/>
    <w:rsid w:val="134A6C68"/>
    <w:rsid w:val="13533D6F"/>
    <w:rsid w:val="135C1057"/>
    <w:rsid w:val="135F0966"/>
    <w:rsid w:val="13645F7C"/>
    <w:rsid w:val="136C4E31"/>
    <w:rsid w:val="136F3FAF"/>
    <w:rsid w:val="137338F8"/>
    <w:rsid w:val="13737F6D"/>
    <w:rsid w:val="13785584"/>
    <w:rsid w:val="137A3E5D"/>
    <w:rsid w:val="1380268A"/>
    <w:rsid w:val="138403CC"/>
    <w:rsid w:val="138D0550"/>
    <w:rsid w:val="138F28CD"/>
    <w:rsid w:val="139344A4"/>
    <w:rsid w:val="13974D45"/>
    <w:rsid w:val="13985C26"/>
    <w:rsid w:val="139A199E"/>
    <w:rsid w:val="139B3968"/>
    <w:rsid w:val="13A26AA4"/>
    <w:rsid w:val="13A908D3"/>
    <w:rsid w:val="13AB7349"/>
    <w:rsid w:val="13AC347F"/>
    <w:rsid w:val="13AE369B"/>
    <w:rsid w:val="13B14F39"/>
    <w:rsid w:val="13B44BFB"/>
    <w:rsid w:val="13B83614"/>
    <w:rsid w:val="13B862C8"/>
    <w:rsid w:val="13BB36C2"/>
    <w:rsid w:val="13C27ACF"/>
    <w:rsid w:val="13C73B93"/>
    <w:rsid w:val="13CC2DEE"/>
    <w:rsid w:val="13CE6B77"/>
    <w:rsid w:val="13D604FC"/>
    <w:rsid w:val="13E61673"/>
    <w:rsid w:val="13EE14CC"/>
    <w:rsid w:val="13F6294C"/>
    <w:rsid w:val="13FC4407"/>
    <w:rsid w:val="13FC455A"/>
    <w:rsid w:val="13FC61B5"/>
    <w:rsid w:val="13FE10FF"/>
    <w:rsid w:val="14001E82"/>
    <w:rsid w:val="14005579"/>
    <w:rsid w:val="14113C34"/>
    <w:rsid w:val="141258CE"/>
    <w:rsid w:val="141D13CF"/>
    <w:rsid w:val="14213E6D"/>
    <w:rsid w:val="14237BE5"/>
    <w:rsid w:val="1432607A"/>
    <w:rsid w:val="143771ED"/>
    <w:rsid w:val="143C4803"/>
    <w:rsid w:val="143E4A1F"/>
    <w:rsid w:val="143F60A1"/>
    <w:rsid w:val="143F71E9"/>
    <w:rsid w:val="144009DA"/>
    <w:rsid w:val="14401446"/>
    <w:rsid w:val="14423DE3"/>
    <w:rsid w:val="14424312"/>
    <w:rsid w:val="14445DAD"/>
    <w:rsid w:val="144874D3"/>
    <w:rsid w:val="14495172"/>
    <w:rsid w:val="144D6A10"/>
    <w:rsid w:val="145002AE"/>
    <w:rsid w:val="14551D69"/>
    <w:rsid w:val="14572017"/>
    <w:rsid w:val="1457788F"/>
    <w:rsid w:val="145C30F7"/>
    <w:rsid w:val="14661880"/>
    <w:rsid w:val="14684B99"/>
    <w:rsid w:val="146B070D"/>
    <w:rsid w:val="147026FF"/>
    <w:rsid w:val="147321EF"/>
    <w:rsid w:val="14773D0F"/>
    <w:rsid w:val="148B578A"/>
    <w:rsid w:val="1494463F"/>
    <w:rsid w:val="14972381"/>
    <w:rsid w:val="14991C55"/>
    <w:rsid w:val="149A3C1F"/>
    <w:rsid w:val="149C604A"/>
    <w:rsid w:val="14A625C4"/>
    <w:rsid w:val="14AB4B2D"/>
    <w:rsid w:val="14AD12A6"/>
    <w:rsid w:val="14B00195"/>
    <w:rsid w:val="14B12799"/>
    <w:rsid w:val="14B805AF"/>
    <w:rsid w:val="14C34A41"/>
    <w:rsid w:val="14C47192"/>
    <w:rsid w:val="14C91709"/>
    <w:rsid w:val="14D07641"/>
    <w:rsid w:val="14DC7D94"/>
    <w:rsid w:val="14DE3B0C"/>
    <w:rsid w:val="14F7697C"/>
    <w:rsid w:val="14F90946"/>
    <w:rsid w:val="14F97527"/>
    <w:rsid w:val="150A4901"/>
    <w:rsid w:val="150A5350"/>
    <w:rsid w:val="150B58A6"/>
    <w:rsid w:val="150C0679"/>
    <w:rsid w:val="15152C6A"/>
    <w:rsid w:val="15155054"/>
    <w:rsid w:val="151C39D0"/>
    <w:rsid w:val="15207CD1"/>
    <w:rsid w:val="15217329"/>
    <w:rsid w:val="152C2AC9"/>
    <w:rsid w:val="152E4A94"/>
    <w:rsid w:val="1534197E"/>
    <w:rsid w:val="15393438"/>
    <w:rsid w:val="153C58D6"/>
    <w:rsid w:val="153E0A4F"/>
    <w:rsid w:val="154629A8"/>
    <w:rsid w:val="154A7855"/>
    <w:rsid w:val="155344FA"/>
    <w:rsid w:val="1558701C"/>
    <w:rsid w:val="155C47D6"/>
    <w:rsid w:val="155C6B11"/>
    <w:rsid w:val="15601485"/>
    <w:rsid w:val="15605BBF"/>
    <w:rsid w:val="15634011"/>
    <w:rsid w:val="15685BA9"/>
    <w:rsid w:val="15696271"/>
    <w:rsid w:val="157B7AB2"/>
    <w:rsid w:val="157D1577"/>
    <w:rsid w:val="157D50D3"/>
    <w:rsid w:val="15824E0A"/>
    <w:rsid w:val="15891CCA"/>
    <w:rsid w:val="158B5F4B"/>
    <w:rsid w:val="158C0730"/>
    <w:rsid w:val="159C326B"/>
    <w:rsid w:val="159D038A"/>
    <w:rsid w:val="159E329B"/>
    <w:rsid w:val="15A46B04"/>
    <w:rsid w:val="15AB31B5"/>
    <w:rsid w:val="15AF54A9"/>
    <w:rsid w:val="15B30AF5"/>
    <w:rsid w:val="15BB209F"/>
    <w:rsid w:val="15BF393E"/>
    <w:rsid w:val="15C076B6"/>
    <w:rsid w:val="15C26502"/>
    <w:rsid w:val="15C40F54"/>
    <w:rsid w:val="15C941A9"/>
    <w:rsid w:val="15CA4090"/>
    <w:rsid w:val="15CE7BCF"/>
    <w:rsid w:val="15D078F9"/>
    <w:rsid w:val="15D64ECB"/>
    <w:rsid w:val="15D867AD"/>
    <w:rsid w:val="15DB44F0"/>
    <w:rsid w:val="15E350DE"/>
    <w:rsid w:val="15E94422"/>
    <w:rsid w:val="15EA028F"/>
    <w:rsid w:val="15EB49E8"/>
    <w:rsid w:val="15EE5FD1"/>
    <w:rsid w:val="15F01D49"/>
    <w:rsid w:val="15F15AC1"/>
    <w:rsid w:val="15F555B1"/>
    <w:rsid w:val="15FA2BC8"/>
    <w:rsid w:val="15FD7FC2"/>
    <w:rsid w:val="15FE04ED"/>
    <w:rsid w:val="160B0931"/>
    <w:rsid w:val="16180A8A"/>
    <w:rsid w:val="161F262E"/>
    <w:rsid w:val="162565A5"/>
    <w:rsid w:val="16297009"/>
    <w:rsid w:val="162B4B2F"/>
    <w:rsid w:val="16315EBE"/>
    <w:rsid w:val="16322361"/>
    <w:rsid w:val="16361587"/>
    <w:rsid w:val="16384AFC"/>
    <w:rsid w:val="163A2FC4"/>
    <w:rsid w:val="163C6D3C"/>
    <w:rsid w:val="163F4A7E"/>
    <w:rsid w:val="164107F7"/>
    <w:rsid w:val="164A5F71"/>
    <w:rsid w:val="164A6D18"/>
    <w:rsid w:val="164E230A"/>
    <w:rsid w:val="164E6A70"/>
    <w:rsid w:val="165152AF"/>
    <w:rsid w:val="16551BAC"/>
    <w:rsid w:val="1658169C"/>
    <w:rsid w:val="165A3666"/>
    <w:rsid w:val="165A5414"/>
    <w:rsid w:val="16612C47"/>
    <w:rsid w:val="16646293"/>
    <w:rsid w:val="16655C52"/>
    <w:rsid w:val="166F2B72"/>
    <w:rsid w:val="16826719"/>
    <w:rsid w:val="16846935"/>
    <w:rsid w:val="1686445B"/>
    <w:rsid w:val="168D3A3C"/>
    <w:rsid w:val="168D57EA"/>
    <w:rsid w:val="169052DA"/>
    <w:rsid w:val="169508A9"/>
    <w:rsid w:val="169510AA"/>
    <w:rsid w:val="169A1CB5"/>
    <w:rsid w:val="169A3A63"/>
    <w:rsid w:val="16A13043"/>
    <w:rsid w:val="16AB3EC2"/>
    <w:rsid w:val="16AD6A01"/>
    <w:rsid w:val="16B34B25"/>
    <w:rsid w:val="16BB1024"/>
    <w:rsid w:val="16BD4D63"/>
    <w:rsid w:val="16C138E4"/>
    <w:rsid w:val="16CD3E38"/>
    <w:rsid w:val="16CE195E"/>
    <w:rsid w:val="16DE6045"/>
    <w:rsid w:val="16DF1467"/>
    <w:rsid w:val="16ED0DD3"/>
    <w:rsid w:val="16F62EAB"/>
    <w:rsid w:val="16FA5928"/>
    <w:rsid w:val="16FC296F"/>
    <w:rsid w:val="16FD7459"/>
    <w:rsid w:val="16FF7D6A"/>
    <w:rsid w:val="1700420E"/>
    <w:rsid w:val="170A6E3A"/>
    <w:rsid w:val="17103100"/>
    <w:rsid w:val="171076EF"/>
    <w:rsid w:val="171E28E6"/>
    <w:rsid w:val="171F1033"/>
    <w:rsid w:val="171F188F"/>
    <w:rsid w:val="172717E1"/>
    <w:rsid w:val="1729459B"/>
    <w:rsid w:val="172F66E9"/>
    <w:rsid w:val="173413FC"/>
    <w:rsid w:val="17397720"/>
    <w:rsid w:val="173F6D9A"/>
    <w:rsid w:val="174340FA"/>
    <w:rsid w:val="17481711"/>
    <w:rsid w:val="174A5489"/>
    <w:rsid w:val="174B37CA"/>
    <w:rsid w:val="175E5AAC"/>
    <w:rsid w:val="17620A24"/>
    <w:rsid w:val="17650515"/>
    <w:rsid w:val="17667DE9"/>
    <w:rsid w:val="176751E1"/>
    <w:rsid w:val="17680E4D"/>
    <w:rsid w:val="176D1177"/>
    <w:rsid w:val="1776627E"/>
    <w:rsid w:val="17780248"/>
    <w:rsid w:val="177B1AE6"/>
    <w:rsid w:val="177B3894"/>
    <w:rsid w:val="177E15D6"/>
    <w:rsid w:val="1780534F"/>
    <w:rsid w:val="178412FF"/>
    <w:rsid w:val="17896F4D"/>
    <w:rsid w:val="178D1819"/>
    <w:rsid w:val="178E3819"/>
    <w:rsid w:val="178F7340"/>
    <w:rsid w:val="17942BA8"/>
    <w:rsid w:val="179A3F69"/>
    <w:rsid w:val="179A70D0"/>
    <w:rsid w:val="179E1745"/>
    <w:rsid w:val="17A96897"/>
    <w:rsid w:val="17AC7EF2"/>
    <w:rsid w:val="17B60287"/>
    <w:rsid w:val="17B62B1E"/>
    <w:rsid w:val="17B80644"/>
    <w:rsid w:val="17B943BD"/>
    <w:rsid w:val="17BB0135"/>
    <w:rsid w:val="17CF3BE0"/>
    <w:rsid w:val="17D3547E"/>
    <w:rsid w:val="17D631C0"/>
    <w:rsid w:val="17DF76AA"/>
    <w:rsid w:val="17E05DED"/>
    <w:rsid w:val="17E23913"/>
    <w:rsid w:val="17E72CD8"/>
    <w:rsid w:val="17F13B56"/>
    <w:rsid w:val="17F3167D"/>
    <w:rsid w:val="17F92A0B"/>
    <w:rsid w:val="17FE0021"/>
    <w:rsid w:val="180432D5"/>
    <w:rsid w:val="18073B0A"/>
    <w:rsid w:val="18117D55"/>
    <w:rsid w:val="181369CE"/>
    <w:rsid w:val="181A5109"/>
    <w:rsid w:val="181D494B"/>
    <w:rsid w:val="181E2472"/>
    <w:rsid w:val="1820443C"/>
    <w:rsid w:val="1822649C"/>
    <w:rsid w:val="18274AB8"/>
    <w:rsid w:val="18281E46"/>
    <w:rsid w:val="18297794"/>
    <w:rsid w:val="182C4B8E"/>
    <w:rsid w:val="183D3240"/>
    <w:rsid w:val="184223AA"/>
    <w:rsid w:val="1844012A"/>
    <w:rsid w:val="1850428B"/>
    <w:rsid w:val="18585984"/>
    <w:rsid w:val="185A611B"/>
    <w:rsid w:val="185C36C6"/>
    <w:rsid w:val="185D743E"/>
    <w:rsid w:val="186127EB"/>
    <w:rsid w:val="18624A54"/>
    <w:rsid w:val="18697B91"/>
    <w:rsid w:val="186B51C2"/>
    <w:rsid w:val="18700F1F"/>
    <w:rsid w:val="18730A0F"/>
    <w:rsid w:val="18761EF4"/>
    <w:rsid w:val="18784278"/>
    <w:rsid w:val="187B0FCB"/>
    <w:rsid w:val="187C3D68"/>
    <w:rsid w:val="187F1162"/>
    <w:rsid w:val="1888270D"/>
    <w:rsid w:val="188C387F"/>
    <w:rsid w:val="188D7D23"/>
    <w:rsid w:val="18914D8B"/>
    <w:rsid w:val="189664AC"/>
    <w:rsid w:val="189866C8"/>
    <w:rsid w:val="18A425E8"/>
    <w:rsid w:val="18A83389"/>
    <w:rsid w:val="18A92683"/>
    <w:rsid w:val="18AD2173"/>
    <w:rsid w:val="18B31317"/>
    <w:rsid w:val="18BC72D1"/>
    <w:rsid w:val="18BD334C"/>
    <w:rsid w:val="18C179CD"/>
    <w:rsid w:val="18C6424A"/>
    <w:rsid w:val="18C70953"/>
    <w:rsid w:val="18D23988"/>
    <w:rsid w:val="18D254B5"/>
    <w:rsid w:val="18D47ED2"/>
    <w:rsid w:val="18DD69BB"/>
    <w:rsid w:val="18E13BCB"/>
    <w:rsid w:val="18E436BB"/>
    <w:rsid w:val="18E57B1D"/>
    <w:rsid w:val="18EA6B8F"/>
    <w:rsid w:val="18EE0313"/>
    <w:rsid w:val="18EF453A"/>
    <w:rsid w:val="18F25DD8"/>
    <w:rsid w:val="18FB670F"/>
    <w:rsid w:val="18FE29CF"/>
    <w:rsid w:val="18FF04F5"/>
    <w:rsid w:val="19030320"/>
    <w:rsid w:val="190A1374"/>
    <w:rsid w:val="190B14B4"/>
    <w:rsid w:val="19114D49"/>
    <w:rsid w:val="19153875"/>
    <w:rsid w:val="1917583F"/>
    <w:rsid w:val="191E6BCD"/>
    <w:rsid w:val="191F64A1"/>
    <w:rsid w:val="1922294C"/>
    <w:rsid w:val="19243277"/>
    <w:rsid w:val="192532E1"/>
    <w:rsid w:val="192A5B1F"/>
    <w:rsid w:val="192D1C87"/>
    <w:rsid w:val="192D6E10"/>
    <w:rsid w:val="19362169"/>
    <w:rsid w:val="193A32DB"/>
    <w:rsid w:val="193D1FA8"/>
    <w:rsid w:val="19406B43"/>
    <w:rsid w:val="194505FE"/>
    <w:rsid w:val="19481E9C"/>
    <w:rsid w:val="194C5F25"/>
    <w:rsid w:val="194D1260"/>
    <w:rsid w:val="194F6D87"/>
    <w:rsid w:val="195B397D"/>
    <w:rsid w:val="195E346D"/>
    <w:rsid w:val="195F62A8"/>
    <w:rsid w:val="19622F5E"/>
    <w:rsid w:val="196A3F75"/>
    <w:rsid w:val="196A5AF1"/>
    <w:rsid w:val="196B253E"/>
    <w:rsid w:val="196E66EE"/>
    <w:rsid w:val="196F11D7"/>
    <w:rsid w:val="19702331"/>
    <w:rsid w:val="19793B44"/>
    <w:rsid w:val="197E58BE"/>
    <w:rsid w:val="19832ED4"/>
    <w:rsid w:val="19834C82"/>
    <w:rsid w:val="199069F8"/>
    <w:rsid w:val="199D21E8"/>
    <w:rsid w:val="19A14FBB"/>
    <w:rsid w:val="19A24B2D"/>
    <w:rsid w:val="19A90A93"/>
    <w:rsid w:val="19AC41D9"/>
    <w:rsid w:val="19B337B9"/>
    <w:rsid w:val="19B968F6"/>
    <w:rsid w:val="19BB266E"/>
    <w:rsid w:val="19BC1F42"/>
    <w:rsid w:val="19C271C3"/>
    <w:rsid w:val="19C57049"/>
    <w:rsid w:val="19C71013"/>
    <w:rsid w:val="19CF6119"/>
    <w:rsid w:val="19D0293B"/>
    <w:rsid w:val="19D76D7C"/>
    <w:rsid w:val="19DD7B13"/>
    <w:rsid w:val="19E5593D"/>
    <w:rsid w:val="19E576EB"/>
    <w:rsid w:val="19E75211"/>
    <w:rsid w:val="19EF2318"/>
    <w:rsid w:val="19F51C08"/>
    <w:rsid w:val="19F94D8C"/>
    <w:rsid w:val="1A057D8D"/>
    <w:rsid w:val="1A126F7E"/>
    <w:rsid w:val="1A134258"/>
    <w:rsid w:val="1A141D7E"/>
    <w:rsid w:val="1A14231F"/>
    <w:rsid w:val="1A15276B"/>
    <w:rsid w:val="1A165AF6"/>
    <w:rsid w:val="1A1678A4"/>
    <w:rsid w:val="1A175295"/>
    <w:rsid w:val="1A197394"/>
    <w:rsid w:val="1A240213"/>
    <w:rsid w:val="1A255D39"/>
    <w:rsid w:val="1A264971"/>
    <w:rsid w:val="1A2C1768"/>
    <w:rsid w:val="1A3366A8"/>
    <w:rsid w:val="1A345F7C"/>
    <w:rsid w:val="1A404921"/>
    <w:rsid w:val="1A420699"/>
    <w:rsid w:val="1A45144E"/>
    <w:rsid w:val="1A46462D"/>
    <w:rsid w:val="1A4876EE"/>
    <w:rsid w:val="1A4A39F2"/>
    <w:rsid w:val="1A4B1C44"/>
    <w:rsid w:val="1A5605E9"/>
    <w:rsid w:val="1A5B79AD"/>
    <w:rsid w:val="1A5D3725"/>
    <w:rsid w:val="1A5F2FF9"/>
    <w:rsid w:val="1A62339C"/>
    <w:rsid w:val="1A642D06"/>
    <w:rsid w:val="1A691D03"/>
    <w:rsid w:val="1A6B5E42"/>
    <w:rsid w:val="1A6C5716"/>
    <w:rsid w:val="1A705206"/>
    <w:rsid w:val="1A777C1A"/>
    <w:rsid w:val="1A7D5B75"/>
    <w:rsid w:val="1A83297F"/>
    <w:rsid w:val="1A8F0784"/>
    <w:rsid w:val="1A976C37"/>
    <w:rsid w:val="1A9D1D74"/>
    <w:rsid w:val="1A9D7FC6"/>
    <w:rsid w:val="1A9F47A4"/>
    <w:rsid w:val="1AA01E65"/>
    <w:rsid w:val="1AA03612"/>
    <w:rsid w:val="1AA2382E"/>
    <w:rsid w:val="1AA35A1B"/>
    <w:rsid w:val="1AA475A6"/>
    <w:rsid w:val="1AA651F3"/>
    <w:rsid w:val="1AA66E7A"/>
    <w:rsid w:val="1AA81566"/>
    <w:rsid w:val="1AA8290F"/>
    <w:rsid w:val="1AA90718"/>
    <w:rsid w:val="1AAA20FA"/>
    <w:rsid w:val="1AAE5362"/>
    <w:rsid w:val="1AB1581F"/>
    <w:rsid w:val="1AB53561"/>
    <w:rsid w:val="1AB5530F"/>
    <w:rsid w:val="1AC75042"/>
    <w:rsid w:val="1AC94917"/>
    <w:rsid w:val="1ACA1197"/>
    <w:rsid w:val="1ACE63D1"/>
    <w:rsid w:val="1AD25EC1"/>
    <w:rsid w:val="1AD87250"/>
    <w:rsid w:val="1AD94D9C"/>
    <w:rsid w:val="1AD95668"/>
    <w:rsid w:val="1ADA54C9"/>
    <w:rsid w:val="1ADD07B5"/>
    <w:rsid w:val="1ADE4866"/>
    <w:rsid w:val="1AE27135"/>
    <w:rsid w:val="1AE94FB9"/>
    <w:rsid w:val="1AED2CFB"/>
    <w:rsid w:val="1AEE0821"/>
    <w:rsid w:val="1AF37BE5"/>
    <w:rsid w:val="1AF5570C"/>
    <w:rsid w:val="1AFC1190"/>
    <w:rsid w:val="1B012302"/>
    <w:rsid w:val="1B0429E2"/>
    <w:rsid w:val="1B0911B7"/>
    <w:rsid w:val="1B0D6EF9"/>
    <w:rsid w:val="1B0F1F1D"/>
    <w:rsid w:val="1B120509"/>
    <w:rsid w:val="1B1210AC"/>
    <w:rsid w:val="1B195D05"/>
    <w:rsid w:val="1B1F4E7E"/>
    <w:rsid w:val="1B375D24"/>
    <w:rsid w:val="1B3F2E2B"/>
    <w:rsid w:val="1B3F4857"/>
    <w:rsid w:val="1B3F531B"/>
    <w:rsid w:val="1B430B6D"/>
    <w:rsid w:val="1B481CDF"/>
    <w:rsid w:val="1B5B49C5"/>
    <w:rsid w:val="1B5E1503"/>
    <w:rsid w:val="1B636B19"/>
    <w:rsid w:val="1B762CF0"/>
    <w:rsid w:val="1B7725C5"/>
    <w:rsid w:val="1B7A3E63"/>
    <w:rsid w:val="1B8574EA"/>
    <w:rsid w:val="1B885E79"/>
    <w:rsid w:val="1B8A054A"/>
    <w:rsid w:val="1B8B6070"/>
    <w:rsid w:val="1B985180"/>
    <w:rsid w:val="1BA61F99"/>
    <w:rsid w:val="1BA63860"/>
    <w:rsid w:val="1BAA0BEC"/>
    <w:rsid w:val="1BAD248A"/>
    <w:rsid w:val="1BB17F49"/>
    <w:rsid w:val="1BC51582"/>
    <w:rsid w:val="1BC7354C"/>
    <w:rsid w:val="1BC82E20"/>
    <w:rsid w:val="1BC872C4"/>
    <w:rsid w:val="1BCD314A"/>
    <w:rsid w:val="1BD00A77"/>
    <w:rsid w:val="1BD17F27"/>
    <w:rsid w:val="1BD7160F"/>
    <w:rsid w:val="1BD73422"/>
    <w:rsid w:val="1BD753C8"/>
    <w:rsid w:val="1BDE2644"/>
    <w:rsid w:val="1BE1234F"/>
    <w:rsid w:val="1BE22134"/>
    <w:rsid w:val="1BE337C6"/>
    <w:rsid w:val="1BE35EAC"/>
    <w:rsid w:val="1BE60E60"/>
    <w:rsid w:val="1BE77CE2"/>
    <w:rsid w:val="1BE834C2"/>
    <w:rsid w:val="1BEF2AA3"/>
    <w:rsid w:val="1BF6798D"/>
    <w:rsid w:val="1BF956CF"/>
    <w:rsid w:val="1BFB1A4D"/>
    <w:rsid w:val="1C01646B"/>
    <w:rsid w:val="1C0624A0"/>
    <w:rsid w:val="1C071B9A"/>
    <w:rsid w:val="1C0A168B"/>
    <w:rsid w:val="1C0C5403"/>
    <w:rsid w:val="1C0D7A6E"/>
    <w:rsid w:val="1C16002F"/>
    <w:rsid w:val="1C166281"/>
    <w:rsid w:val="1C185B56"/>
    <w:rsid w:val="1C1F5136"/>
    <w:rsid w:val="1C266D20"/>
    <w:rsid w:val="1C27223D"/>
    <w:rsid w:val="1C304E60"/>
    <w:rsid w:val="1C316C17"/>
    <w:rsid w:val="1C3D2911"/>
    <w:rsid w:val="1C3D380E"/>
    <w:rsid w:val="1C3D736A"/>
    <w:rsid w:val="1C454285"/>
    <w:rsid w:val="1C4A1A87"/>
    <w:rsid w:val="1C4E5A1B"/>
    <w:rsid w:val="1C4F35C3"/>
    <w:rsid w:val="1C5172BA"/>
    <w:rsid w:val="1C533A6E"/>
    <w:rsid w:val="1C53457D"/>
    <w:rsid w:val="1C5446B4"/>
    <w:rsid w:val="1C5F19D6"/>
    <w:rsid w:val="1C625BDC"/>
    <w:rsid w:val="1C632B49"/>
    <w:rsid w:val="1C6609E7"/>
    <w:rsid w:val="1C6E7DE2"/>
    <w:rsid w:val="1C7031D6"/>
    <w:rsid w:val="1C7127AF"/>
    <w:rsid w:val="1C752FA8"/>
    <w:rsid w:val="1C781F6F"/>
    <w:rsid w:val="1C7A05BE"/>
    <w:rsid w:val="1C7D00AF"/>
    <w:rsid w:val="1C7F5C69"/>
    <w:rsid w:val="1C84143D"/>
    <w:rsid w:val="1C850D11"/>
    <w:rsid w:val="1C874A89"/>
    <w:rsid w:val="1C8C0350"/>
    <w:rsid w:val="1C8C5210"/>
    <w:rsid w:val="1C983F93"/>
    <w:rsid w:val="1CA1189D"/>
    <w:rsid w:val="1CB05D8E"/>
    <w:rsid w:val="1CB3587E"/>
    <w:rsid w:val="1CB813EC"/>
    <w:rsid w:val="1CBB78C2"/>
    <w:rsid w:val="1CC16977"/>
    <w:rsid w:val="1CC23D13"/>
    <w:rsid w:val="1CC96E50"/>
    <w:rsid w:val="1CC97FC1"/>
    <w:rsid w:val="1CCD2AC2"/>
    <w:rsid w:val="1CD51C99"/>
    <w:rsid w:val="1CD778A6"/>
    <w:rsid w:val="1CDD0B4D"/>
    <w:rsid w:val="1CE247F8"/>
    <w:rsid w:val="1CF10155"/>
    <w:rsid w:val="1CF24FB3"/>
    <w:rsid w:val="1CF30371"/>
    <w:rsid w:val="1CFA7DF1"/>
    <w:rsid w:val="1CFE41B2"/>
    <w:rsid w:val="1CFF2872"/>
    <w:rsid w:val="1D022362"/>
    <w:rsid w:val="1D0460DA"/>
    <w:rsid w:val="1D0B577E"/>
    <w:rsid w:val="1D0B6873"/>
    <w:rsid w:val="1D0E6F59"/>
    <w:rsid w:val="1D13456F"/>
    <w:rsid w:val="1D181383"/>
    <w:rsid w:val="1D18217A"/>
    <w:rsid w:val="1D1B6AD7"/>
    <w:rsid w:val="1D1D719C"/>
    <w:rsid w:val="1D1E53EE"/>
    <w:rsid w:val="1D217386"/>
    <w:rsid w:val="1D21777C"/>
    <w:rsid w:val="1D271DC8"/>
    <w:rsid w:val="1D274047"/>
    <w:rsid w:val="1D28001A"/>
    <w:rsid w:val="1D2F75FB"/>
    <w:rsid w:val="1D327A8F"/>
    <w:rsid w:val="1D33076D"/>
    <w:rsid w:val="1D3369BF"/>
    <w:rsid w:val="1D351321"/>
    <w:rsid w:val="1D352737"/>
    <w:rsid w:val="1D367051"/>
    <w:rsid w:val="1D491D3F"/>
    <w:rsid w:val="1D4E2B9D"/>
    <w:rsid w:val="1D4E37F9"/>
    <w:rsid w:val="1D4F0D6D"/>
    <w:rsid w:val="1D552DD9"/>
    <w:rsid w:val="1D577F0B"/>
    <w:rsid w:val="1D5C47CB"/>
    <w:rsid w:val="1D646B79"/>
    <w:rsid w:val="1D6A09E2"/>
    <w:rsid w:val="1D6B1AC9"/>
    <w:rsid w:val="1D6F5C49"/>
    <w:rsid w:val="1D8148D9"/>
    <w:rsid w:val="1D8350FA"/>
    <w:rsid w:val="1D847DE2"/>
    <w:rsid w:val="1D880AB9"/>
    <w:rsid w:val="1D8B67FB"/>
    <w:rsid w:val="1D8B7156"/>
    <w:rsid w:val="1D994A74"/>
    <w:rsid w:val="1D9B4C90"/>
    <w:rsid w:val="1D9D05AE"/>
    <w:rsid w:val="1D9E02DC"/>
    <w:rsid w:val="1DA90A2F"/>
    <w:rsid w:val="1DAD6772"/>
    <w:rsid w:val="1DB45D52"/>
    <w:rsid w:val="1DB632A8"/>
    <w:rsid w:val="1DB83C85"/>
    <w:rsid w:val="1DBC4C07"/>
    <w:rsid w:val="1DBC69B5"/>
    <w:rsid w:val="1DC1221D"/>
    <w:rsid w:val="1DC51D0D"/>
    <w:rsid w:val="1DC55869"/>
    <w:rsid w:val="1DCB6BF8"/>
    <w:rsid w:val="1DCD471E"/>
    <w:rsid w:val="1DD91315"/>
    <w:rsid w:val="1DDE1D27"/>
    <w:rsid w:val="1DDE692B"/>
    <w:rsid w:val="1DE2466D"/>
    <w:rsid w:val="1DED55CE"/>
    <w:rsid w:val="1DED6B6E"/>
    <w:rsid w:val="1DF07C0D"/>
    <w:rsid w:val="1DF45E11"/>
    <w:rsid w:val="1DF93765"/>
    <w:rsid w:val="1DFE0D7B"/>
    <w:rsid w:val="1DFF0E78"/>
    <w:rsid w:val="1E0A3BC4"/>
    <w:rsid w:val="1E110AAE"/>
    <w:rsid w:val="1E162569"/>
    <w:rsid w:val="1E1660C5"/>
    <w:rsid w:val="1E197963"/>
    <w:rsid w:val="1E1A7CF8"/>
    <w:rsid w:val="1E1B278E"/>
    <w:rsid w:val="1E1D38F7"/>
    <w:rsid w:val="1E236165"/>
    <w:rsid w:val="1E360515"/>
    <w:rsid w:val="1E383534"/>
    <w:rsid w:val="1E390D4A"/>
    <w:rsid w:val="1E42335E"/>
    <w:rsid w:val="1E45337F"/>
    <w:rsid w:val="1E496186"/>
    <w:rsid w:val="1E4A5D6E"/>
    <w:rsid w:val="1E5170FD"/>
    <w:rsid w:val="1E537319"/>
    <w:rsid w:val="1E54391F"/>
    <w:rsid w:val="1E5B309D"/>
    <w:rsid w:val="1E634270"/>
    <w:rsid w:val="1E676920"/>
    <w:rsid w:val="1E731769"/>
    <w:rsid w:val="1E733517"/>
    <w:rsid w:val="1E740728"/>
    <w:rsid w:val="1E780A1D"/>
    <w:rsid w:val="1E803E86"/>
    <w:rsid w:val="1E805C34"/>
    <w:rsid w:val="1E85149C"/>
    <w:rsid w:val="1E875215"/>
    <w:rsid w:val="1E8B037B"/>
    <w:rsid w:val="1E8E0351"/>
    <w:rsid w:val="1E8E3FD5"/>
    <w:rsid w:val="1E8E7BF8"/>
    <w:rsid w:val="1E8F40C9"/>
    <w:rsid w:val="1E984D2C"/>
    <w:rsid w:val="1E98672C"/>
    <w:rsid w:val="1E9F430C"/>
    <w:rsid w:val="1EA129C4"/>
    <w:rsid w:val="1EA6112A"/>
    <w:rsid w:val="1EA638ED"/>
    <w:rsid w:val="1EA71A56"/>
    <w:rsid w:val="1EA77665"/>
    <w:rsid w:val="1EA97761"/>
    <w:rsid w:val="1EAB487F"/>
    <w:rsid w:val="1EAC4C7B"/>
    <w:rsid w:val="1EAC6036"/>
    <w:rsid w:val="1EAF02C7"/>
    <w:rsid w:val="1EAF2075"/>
    <w:rsid w:val="1EBB4E5F"/>
    <w:rsid w:val="1EC023DA"/>
    <w:rsid w:val="1EC4105D"/>
    <w:rsid w:val="1ECA3667"/>
    <w:rsid w:val="1ECC70CB"/>
    <w:rsid w:val="1ECE699F"/>
    <w:rsid w:val="1ED16490"/>
    <w:rsid w:val="1ED63AA6"/>
    <w:rsid w:val="1ED80DA0"/>
    <w:rsid w:val="1ED815CE"/>
    <w:rsid w:val="1EE566E6"/>
    <w:rsid w:val="1EE91A2B"/>
    <w:rsid w:val="1EEE2B9E"/>
    <w:rsid w:val="1EF30354"/>
    <w:rsid w:val="1EF36406"/>
    <w:rsid w:val="1EF5217E"/>
    <w:rsid w:val="1EF53F2C"/>
    <w:rsid w:val="1EF74148"/>
    <w:rsid w:val="1EFF0DB6"/>
    <w:rsid w:val="1F05326D"/>
    <w:rsid w:val="1F0E4783"/>
    <w:rsid w:val="1F134CFA"/>
    <w:rsid w:val="1F15637C"/>
    <w:rsid w:val="1F182311"/>
    <w:rsid w:val="1F201971"/>
    <w:rsid w:val="1F240CB5"/>
    <w:rsid w:val="1F262338"/>
    <w:rsid w:val="1F2962CC"/>
    <w:rsid w:val="1F2E3B32"/>
    <w:rsid w:val="1F387B22"/>
    <w:rsid w:val="1F3A2287"/>
    <w:rsid w:val="1F3A4035"/>
    <w:rsid w:val="1F3C0F4E"/>
    <w:rsid w:val="1F3C1B5B"/>
    <w:rsid w:val="1F3E1D77"/>
    <w:rsid w:val="1F3F5AEF"/>
    <w:rsid w:val="1F4434DB"/>
    <w:rsid w:val="1F464788"/>
    <w:rsid w:val="1F4A04DC"/>
    <w:rsid w:val="1F4F737C"/>
    <w:rsid w:val="1F51312D"/>
    <w:rsid w:val="1F5918E2"/>
    <w:rsid w:val="1F5A0233"/>
    <w:rsid w:val="1F5A46D7"/>
    <w:rsid w:val="1F5B3DA1"/>
    <w:rsid w:val="1F5B5BD2"/>
    <w:rsid w:val="1F5E5F75"/>
    <w:rsid w:val="1F6248E3"/>
    <w:rsid w:val="1F62533A"/>
    <w:rsid w:val="1F63358C"/>
    <w:rsid w:val="1F67366F"/>
    <w:rsid w:val="1F69491A"/>
    <w:rsid w:val="1F6A28DC"/>
    <w:rsid w:val="1F6A5394"/>
    <w:rsid w:val="1F6E46E2"/>
    <w:rsid w:val="1F723463"/>
    <w:rsid w:val="1F737547"/>
    <w:rsid w:val="1F75781C"/>
    <w:rsid w:val="1F7A4CD2"/>
    <w:rsid w:val="1F894B30"/>
    <w:rsid w:val="1F8F25D3"/>
    <w:rsid w:val="1F923E71"/>
    <w:rsid w:val="1F9C4CF0"/>
    <w:rsid w:val="1F9E2816"/>
    <w:rsid w:val="1F9E4B31"/>
    <w:rsid w:val="1FA04A70"/>
    <w:rsid w:val="1FA07FCE"/>
    <w:rsid w:val="1FA8420B"/>
    <w:rsid w:val="1FA94D17"/>
    <w:rsid w:val="1FAD0CAB"/>
    <w:rsid w:val="1FB02549"/>
    <w:rsid w:val="1FB13DEF"/>
    <w:rsid w:val="1FB931AC"/>
    <w:rsid w:val="1FD43E7B"/>
    <w:rsid w:val="1FDA1374"/>
    <w:rsid w:val="1FDB75C6"/>
    <w:rsid w:val="1FDE0E64"/>
    <w:rsid w:val="1FE346CD"/>
    <w:rsid w:val="1FE50445"/>
    <w:rsid w:val="1FE6738B"/>
    <w:rsid w:val="1FE817B6"/>
    <w:rsid w:val="1FF03DF1"/>
    <w:rsid w:val="1FF93815"/>
    <w:rsid w:val="1FF95C9E"/>
    <w:rsid w:val="1FFB7C68"/>
    <w:rsid w:val="1FFF46FA"/>
    <w:rsid w:val="20012DA5"/>
    <w:rsid w:val="20020C86"/>
    <w:rsid w:val="2004485B"/>
    <w:rsid w:val="20052895"/>
    <w:rsid w:val="200563F1"/>
    <w:rsid w:val="20084133"/>
    <w:rsid w:val="20250841"/>
    <w:rsid w:val="2027280B"/>
    <w:rsid w:val="20284E76"/>
    <w:rsid w:val="202A1117"/>
    <w:rsid w:val="202E28ED"/>
    <w:rsid w:val="20337402"/>
    <w:rsid w:val="20360CA0"/>
    <w:rsid w:val="203647FC"/>
    <w:rsid w:val="20370574"/>
    <w:rsid w:val="20384A18"/>
    <w:rsid w:val="203A17C4"/>
    <w:rsid w:val="203B492A"/>
    <w:rsid w:val="203B62B7"/>
    <w:rsid w:val="203D47A2"/>
    <w:rsid w:val="204038CD"/>
    <w:rsid w:val="204249BD"/>
    <w:rsid w:val="204A1B29"/>
    <w:rsid w:val="204A474C"/>
    <w:rsid w:val="20556D26"/>
    <w:rsid w:val="20564E9E"/>
    <w:rsid w:val="2061066F"/>
    <w:rsid w:val="206A7C4B"/>
    <w:rsid w:val="206F5F60"/>
    <w:rsid w:val="20717F2A"/>
    <w:rsid w:val="20727B38"/>
    <w:rsid w:val="20784E15"/>
    <w:rsid w:val="207B2B57"/>
    <w:rsid w:val="208512E0"/>
    <w:rsid w:val="208A20C3"/>
    <w:rsid w:val="208B6EA4"/>
    <w:rsid w:val="208C7076"/>
    <w:rsid w:val="209459C7"/>
    <w:rsid w:val="2096173F"/>
    <w:rsid w:val="209634ED"/>
    <w:rsid w:val="20983709"/>
    <w:rsid w:val="20991A02"/>
    <w:rsid w:val="209C52AF"/>
    <w:rsid w:val="209C7AB4"/>
    <w:rsid w:val="20A35C0A"/>
    <w:rsid w:val="20A53730"/>
    <w:rsid w:val="20A7394C"/>
    <w:rsid w:val="20A8372A"/>
    <w:rsid w:val="20AD0837"/>
    <w:rsid w:val="20B0021E"/>
    <w:rsid w:val="20B56069"/>
    <w:rsid w:val="20BE2A44"/>
    <w:rsid w:val="20BE47F2"/>
    <w:rsid w:val="20C77B4A"/>
    <w:rsid w:val="20D504B9"/>
    <w:rsid w:val="20D63A5F"/>
    <w:rsid w:val="20DA5ACF"/>
    <w:rsid w:val="20DE50E9"/>
    <w:rsid w:val="20E701EC"/>
    <w:rsid w:val="20EC200E"/>
    <w:rsid w:val="20EC77BF"/>
    <w:rsid w:val="20F16975"/>
    <w:rsid w:val="20FA1CCE"/>
    <w:rsid w:val="20FD17BE"/>
    <w:rsid w:val="210F3E64"/>
    <w:rsid w:val="211023E9"/>
    <w:rsid w:val="21103DA4"/>
    <w:rsid w:val="21134B3E"/>
    <w:rsid w:val="211803A6"/>
    <w:rsid w:val="211A411E"/>
    <w:rsid w:val="211B54B7"/>
    <w:rsid w:val="211D59BC"/>
    <w:rsid w:val="211F1734"/>
    <w:rsid w:val="21224BCD"/>
    <w:rsid w:val="21240AF9"/>
    <w:rsid w:val="21274A8D"/>
    <w:rsid w:val="212D1D86"/>
    <w:rsid w:val="21303941"/>
    <w:rsid w:val="213179AF"/>
    <w:rsid w:val="21352D06"/>
    <w:rsid w:val="213571AA"/>
    <w:rsid w:val="213B674E"/>
    <w:rsid w:val="214557F9"/>
    <w:rsid w:val="21463165"/>
    <w:rsid w:val="214E3DC8"/>
    <w:rsid w:val="21521B0A"/>
    <w:rsid w:val="21555156"/>
    <w:rsid w:val="215D7A1F"/>
    <w:rsid w:val="216435EB"/>
    <w:rsid w:val="216D06F2"/>
    <w:rsid w:val="217F21D3"/>
    <w:rsid w:val="21817CF9"/>
    <w:rsid w:val="21852D0F"/>
    <w:rsid w:val="21874937"/>
    <w:rsid w:val="218B6DCA"/>
    <w:rsid w:val="2190618E"/>
    <w:rsid w:val="2194692A"/>
    <w:rsid w:val="2197751D"/>
    <w:rsid w:val="219928C4"/>
    <w:rsid w:val="21997739"/>
    <w:rsid w:val="219A700D"/>
    <w:rsid w:val="21A133C6"/>
    <w:rsid w:val="21A25EC1"/>
    <w:rsid w:val="21A32365"/>
    <w:rsid w:val="21A734D8"/>
    <w:rsid w:val="21A954A2"/>
    <w:rsid w:val="21A95D67"/>
    <w:rsid w:val="21AB746C"/>
    <w:rsid w:val="21AD026C"/>
    <w:rsid w:val="21B24356"/>
    <w:rsid w:val="21B26104"/>
    <w:rsid w:val="21B300CF"/>
    <w:rsid w:val="21BA145D"/>
    <w:rsid w:val="21BA76AF"/>
    <w:rsid w:val="21BC3427"/>
    <w:rsid w:val="21C36564"/>
    <w:rsid w:val="21C978F2"/>
    <w:rsid w:val="21CB18BC"/>
    <w:rsid w:val="21CB71C6"/>
    <w:rsid w:val="21D13B52"/>
    <w:rsid w:val="21D342CD"/>
    <w:rsid w:val="21D40F55"/>
    <w:rsid w:val="21DC7625"/>
    <w:rsid w:val="21DE514B"/>
    <w:rsid w:val="21E73CD7"/>
    <w:rsid w:val="21F16D6B"/>
    <w:rsid w:val="21F42BC1"/>
    <w:rsid w:val="21F92CFC"/>
    <w:rsid w:val="21FE02AF"/>
    <w:rsid w:val="21FF3314"/>
    <w:rsid w:val="2208041A"/>
    <w:rsid w:val="22094BEE"/>
    <w:rsid w:val="220D77DF"/>
    <w:rsid w:val="220E74E3"/>
    <w:rsid w:val="22111F78"/>
    <w:rsid w:val="2212609E"/>
    <w:rsid w:val="2217065D"/>
    <w:rsid w:val="221E0366"/>
    <w:rsid w:val="222A65E3"/>
    <w:rsid w:val="22300005"/>
    <w:rsid w:val="22347461"/>
    <w:rsid w:val="223631D9"/>
    <w:rsid w:val="223D532F"/>
    <w:rsid w:val="22402513"/>
    <w:rsid w:val="224B3F25"/>
    <w:rsid w:val="224B4355"/>
    <w:rsid w:val="22521696"/>
    <w:rsid w:val="22557CBE"/>
    <w:rsid w:val="22561186"/>
    <w:rsid w:val="225A1E96"/>
    <w:rsid w:val="225B374B"/>
    <w:rsid w:val="225D0766"/>
    <w:rsid w:val="225E2011"/>
    <w:rsid w:val="2268499D"/>
    <w:rsid w:val="226A2E83"/>
    <w:rsid w:val="226C1F27"/>
    <w:rsid w:val="22717D6E"/>
    <w:rsid w:val="227930C6"/>
    <w:rsid w:val="22813D29"/>
    <w:rsid w:val="228A146E"/>
    <w:rsid w:val="228C5935"/>
    <w:rsid w:val="22993768"/>
    <w:rsid w:val="22A435F4"/>
    <w:rsid w:val="22A46E9A"/>
    <w:rsid w:val="22A5210D"/>
    <w:rsid w:val="22A9341F"/>
    <w:rsid w:val="22AA2EA9"/>
    <w:rsid w:val="22AC349C"/>
    <w:rsid w:val="22AD4B1E"/>
    <w:rsid w:val="22B05B02"/>
    <w:rsid w:val="22B12349"/>
    <w:rsid w:val="22B12860"/>
    <w:rsid w:val="22B365D8"/>
    <w:rsid w:val="22B45EAC"/>
    <w:rsid w:val="22B609C5"/>
    <w:rsid w:val="22BA5BB9"/>
    <w:rsid w:val="22BD193D"/>
    <w:rsid w:val="22BD7457"/>
    <w:rsid w:val="22BF55D4"/>
    <w:rsid w:val="22C14B06"/>
    <w:rsid w:val="22C37E78"/>
    <w:rsid w:val="22C5455D"/>
    <w:rsid w:val="22C97BAA"/>
    <w:rsid w:val="22CE3412"/>
    <w:rsid w:val="22CF718A"/>
    <w:rsid w:val="22D95913"/>
    <w:rsid w:val="22DE333F"/>
    <w:rsid w:val="22DF561F"/>
    <w:rsid w:val="22E20C6B"/>
    <w:rsid w:val="22E569AE"/>
    <w:rsid w:val="22E9024C"/>
    <w:rsid w:val="22EC1AEA"/>
    <w:rsid w:val="22EC5646"/>
    <w:rsid w:val="22EE5862"/>
    <w:rsid w:val="22F2630E"/>
    <w:rsid w:val="22F62969"/>
    <w:rsid w:val="22F8048F"/>
    <w:rsid w:val="22F8223D"/>
    <w:rsid w:val="22FD5745"/>
    <w:rsid w:val="22FE4775"/>
    <w:rsid w:val="2300417F"/>
    <w:rsid w:val="2302130E"/>
    <w:rsid w:val="2305229D"/>
    <w:rsid w:val="23076924"/>
    <w:rsid w:val="230D19C6"/>
    <w:rsid w:val="23111551"/>
    <w:rsid w:val="231223A3"/>
    <w:rsid w:val="231A1284"/>
    <w:rsid w:val="23220535"/>
    <w:rsid w:val="2338088B"/>
    <w:rsid w:val="233839D3"/>
    <w:rsid w:val="233935B6"/>
    <w:rsid w:val="233A2855"/>
    <w:rsid w:val="233F57D6"/>
    <w:rsid w:val="233F6965"/>
    <w:rsid w:val="23445482"/>
    <w:rsid w:val="234731C4"/>
    <w:rsid w:val="235356C5"/>
    <w:rsid w:val="2358717F"/>
    <w:rsid w:val="235B65DB"/>
    <w:rsid w:val="23611157"/>
    <w:rsid w:val="236A1CB7"/>
    <w:rsid w:val="236A7DC3"/>
    <w:rsid w:val="236F7A2E"/>
    <w:rsid w:val="23721DF1"/>
    <w:rsid w:val="2375388E"/>
    <w:rsid w:val="2378512C"/>
    <w:rsid w:val="237E326C"/>
    <w:rsid w:val="237E5715"/>
    <w:rsid w:val="23810484"/>
    <w:rsid w:val="23844CE3"/>
    <w:rsid w:val="238735C1"/>
    <w:rsid w:val="23887A65"/>
    <w:rsid w:val="238910E7"/>
    <w:rsid w:val="238F0949"/>
    <w:rsid w:val="238F5641"/>
    <w:rsid w:val="23931F66"/>
    <w:rsid w:val="2394382A"/>
    <w:rsid w:val="23953F30"/>
    <w:rsid w:val="23971A56"/>
    <w:rsid w:val="239D2DE4"/>
    <w:rsid w:val="239E036F"/>
    <w:rsid w:val="239F090A"/>
    <w:rsid w:val="23AA56D9"/>
    <w:rsid w:val="23AB5501"/>
    <w:rsid w:val="23AE4FF1"/>
    <w:rsid w:val="23B95E70"/>
    <w:rsid w:val="23BF0FAD"/>
    <w:rsid w:val="23C009D7"/>
    <w:rsid w:val="23C40371"/>
    <w:rsid w:val="23C677EE"/>
    <w:rsid w:val="23CE2F9E"/>
    <w:rsid w:val="23D17D47"/>
    <w:rsid w:val="23D305B4"/>
    <w:rsid w:val="23DE51D3"/>
    <w:rsid w:val="23E2095D"/>
    <w:rsid w:val="23E26A49"/>
    <w:rsid w:val="23E6478B"/>
    <w:rsid w:val="23EC436E"/>
    <w:rsid w:val="23EE5E9E"/>
    <w:rsid w:val="23F25748"/>
    <w:rsid w:val="23F46EA8"/>
    <w:rsid w:val="23F70746"/>
    <w:rsid w:val="23F74AC0"/>
    <w:rsid w:val="23FB580D"/>
    <w:rsid w:val="23FC4859"/>
    <w:rsid w:val="240510B5"/>
    <w:rsid w:val="24055D2E"/>
    <w:rsid w:val="2406098A"/>
    <w:rsid w:val="240B578F"/>
    <w:rsid w:val="240F221C"/>
    <w:rsid w:val="241035B6"/>
    <w:rsid w:val="241412F8"/>
    <w:rsid w:val="241430A6"/>
    <w:rsid w:val="24150BCD"/>
    <w:rsid w:val="24156E1F"/>
    <w:rsid w:val="241F2644"/>
    <w:rsid w:val="24225D11"/>
    <w:rsid w:val="24262DDA"/>
    <w:rsid w:val="24287A50"/>
    <w:rsid w:val="24297D2D"/>
    <w:rsid w:val="242B219E"/>
    <w:rsid w:val="242B31BC"/>
    <w:rsid w:val="24342863"/>
    <w:rsid w:val="24373B84"/>
    <w:rsid w:val="243B6039"/>
    <w:rsid w:val="2443398C"/>
    <w:rsid w:val="24482B68"/>
    <w:rsid w:val="244871F4"/>
    <w:rsid w:val="244D0366"/>
    <w:rsid w:val="244D480A"/>
    <w:rsid w:val="245416F5"/>
    <w:rsid w:val="24545B99"/>
    <w:rsid w:val="245862FC"/>
    <w:rsid w:val="2460453E"/>
    <w:rsid w:val="24665F23"/>
    <w:rsid w:val="246758CC"/>
    <w:rsid w:val="24681644"/>
    <w:rsid w:val="24743B45"/>
    <w:rsid w:val="24863878"/>
    <w:rsid w:val="2488261A"/>
    <w:rsid w:val="248A5117"/>
    <w:rsid w:val="248F6BD1"/>
    <w:rsid w:val="2492589E"/>
    <w:rsid w:val="24973CD7"/>
    <w:rsid w:val="249C40A0"/>
    <w:rsid w:val="24A0493A"/>
    <w:rsid w:val="24A563F4"/>
    <w:rsid w:val="24A65CC9"/>
    <w:rsid w:val="24A87C93"/>
    <w:rsid w:val="24AA3A0B"/>
    <w:rsid w:val="24AD52A9"/>
    <w:rsid w:val="24B16B47"/>
    <w:rsid w:val="24B623B0"/>
    <w:rsid w:val="24B73A69"/>
    <w:rsid w:val="24B959FC"/>
    <w:rsid w:val="24BA4692"/>
    <w:rsid w:val="24BD3167"/>
    <w:rsid w:val="24BE3012"/>
    <w:rsid w:val="24C21476"/>
    <w:rsid w:val="24C70119"/>
    <w:rsid w:val="24C97AF0"/>
    <w:rsid w:val="24CD76F9"/>
    <w:rsid w:val="24CF6FCD"/>
    <w:rsid w:val="24D40A88"/>
    <w:rsid w:val="24D42D13"/>
    <w:rsid w:val="24DB180E"/>
    <w:rsid w:val="24DB3BC4"/>
    <w:rsid w:val="24DF0092"/>
    <w:rsid w:val="24E46F1D"/>
    <w:rsid w:val="24E719B7"/>
    <w:rsid w:val="24E76A0D"/>
    <w:rsid w:val="24EA02AB"/>
    <w:rsid w:val="24EB2987"/>
    <w:rsid w:val="24F6596A"/>
    <w:rsid w:val="24F84776"/>
    <w:rsid w:val="25003F5E"/>
    <w:rsid w:val="250273A3"/>
    <w:rsid w:val="250749B9"/>
    <w:rsid w:val="2519649B"/>
    <w:rsid w:val="25201F1F"/>
    <w:rsid w:val="25203CCD"/>
    <w:rsid w:val="25284930"/>
    <w:rsid w:val="25290DD3"/>
    <w:rsid w:val="252D7B52"/>
    <w:rsid w:val="253661C7"/>
    <w:rsid w:val="25366B26"/>
    <w:rsid w:val="2536704D"/>
    <w:rsid w:val="253F23A5"/>
    <w:rsid w:val="25407454"/>
    <w:rsid w:val="25423362"/>
    <w:rsid w:val="254A2AF8"/>
    <w:rsid w:val="255319AC"/>
    <w:rsid w:val="255B2F57"/>
    <w:rsid w:val="256C0CC0"/>
    <w:rsid w:val="256C5463"/>
    <w:rsid w:val="256E7B84"/>
    <w:rsid w:val="25783B09"/>
    <w:rsid w:val="2580476C"/>
    <w:rsid w:val="2584600A"/>
    <w:rsid w:val="258C1362"/>
    <w:rsid w:val="258E4132"/>
    <w:rsid w:val="25951FC5"/>
    <w:rsid w:val="25974673"/>
    <w:rsid w:val="259758A2"/>
    <w:rsid w:val="25976058"/>
    <w:rsid w:val="259C77F7"/>
    <w:rsid w:val="25A20B86"/>
    <w:rsid w:val="25AD78E2"/>
    <w:rsid w:val="25AE2533"/>
    <w:rsid w:val="25B07C96"/>
    <w:rsid w:val="25B20DC9"/>
    <w:rsid w:val="25B75409"/>
    <w:rsid w:val="25BF7042"/>
    <w:rsid w:val="25C01E11"/>
    <w:rsid w:val="25C24258"/>
    <w:rsid w:val="25C603D0"/>
    <w:rsid w:val="25C63A63"/>
    <w:rsid w:val="25CA35FC"/>
    <w:rsid w:val="25E1520A"/>
    <w:rsid w:val="25E600BA"/>
    <w:rsid w:val="25F7199C"/>
    <w:rsid w:val="25F81E76"/>
    <w:rsid w:val="260809E9"/>
    <w:rsid w:val="260A59DD"/>
    <w:rsid w:val="26153106"/>
    <w:rsid w:val="261750D0"/>
    <w:rsid w:val="261A071C"/>
    <w:rsid w:val="261D0995"/>
    <w:rsid w:val="261F3F85"/>
    <w:rsid w:val="262477ED"/>
    <w:rsid w:val="26265313"/>
    <w:rsid w:val="26274F05"/>
    <w:rsid w:val="262B2929"/>
    <w:rsid w:val="262C7CFC"/>
    <w:rsid w:val="262E5338"/>
    <w:rsid w:val="263C73D4"/>
    <w:rsid w:val="26437C73"/>
    <w:rsid w:val="2650413E"/>
    <w:rsid w:val="265532A2"/>
    <w:rsid w:val="265B3BA9"/>
    <w:rsid w:val="265E4AAD"/>
    <w:rsid w:val="26647BE9"/>
    <w:rsid w:val="26663961"/>
    <w:rsid w:val="266A0072"/>
    <w:rsid w:val="266B0F78"/>
    <w:rsid w:val="26711E5F"/>
    <w:rsid w:val="26714DD0"/>
    <w:rsid w:val="26836D32"/>
    <w:rsid w:val="268C786C"/>
    <w:rsid w:val="268D39A6"/>
    <w:rsid w:val="268D5392"/>
    <w:rsid w:val="268D7918"/>
    <w:rsid w:val="26926505"/>
    <w:rsid w:val="26937225"/>
    <w:rsid w:val="26946721"/>
    <w:rsid w:val="269C3827"/>
    <w:rsid w:val="26A440C8"/>
    <w:rsid w:val="26A460DD"/>
    <w:rsid w:val="26B01FDB"/>
    <w:rsid w:val="26B4291F"/>
    <w:rsid w:val="26B47F5C"/>
    <w:rsid w:val="26C328E9"/>
    <w:rsid w:val="26D3146F"/>
    <w:rsid w:val="26D8384D"/>
    <w:rsid w:val="26E825C8"/>
    <w:rsid w:val="26E83BDF"/>
    <w:rsid w:val="26F251F5"/>
    <w:rsid w:val="26F31699"/>
    <w:rsid w:val="26F96584"/>
    <w:rsid w:val="26FF1E4F"/>
    <w:rsid w:val="2702368A"/>
    <w:rsid w:val="270F5DA7"/>
    <w:rsid w:val="270F7B55"/>
    <w:rsid w:val="27125D31"/>
    <w:rsid w:val="27151C4F"/>
    <w:rsid w:val="27165A5C"/>
    <w:rsid w:val="27181100"/>
    <w:rsid w:val="271C6A3C"/>
    <w:rsid w:val="27220C3B"/>
    <w:rsid w:val="272642CD"/>
    <w:rsid w:val="27296981"/>
    <w:rsid w:val="272A2BE1"/>
    <w:rsid w:val="274A5031"/>
    <w:rsid w:val="27547038"/>
    <w:rsid w:val="27644345"/>
    <w:rsid w:val="27653C19"/>
    <w:rsid w:val="276703C3"/>
    <w:rsid w:val="276A39BF"/>
    <w:rsid w:val="276B5CE7"/>
    <w:rsid w:val="276C31F9"/>
    <w:rsid w:val="276D724C"/>
    <w:rsid w:val="276E49E2"/>
    <w:rsid w:val="276F34D3"/>
    <w:rsid w:val="277454E7"/>
    <w:rsid w:val="277A2E88"/>
    <w:rsid w:val="277B201D"/>
    <w:rsid w:val="277E2C99"/>
    <w:rsid w:val="277E7375"/>
    <w:rsid w:val="27802801"/>
    <w:rsid w:val="27815357"/>
    <w:rsid w:val="27840543"/>
    <w:rsid w:val="27846CA4"/>
    <w:rsid w:val="278A18D2"/>
    <w:rsid w:val="278C71DD"/>
    <w:rsid w:val="278F0C96"/>
    <w:rsid w:val="279369D8"/>
    <w:rsid w:val="27940417"/>
    <w:rsid w:val="2799145D"/>
    <w:rsid w:val="27A42993"/>
    <w:rsid w:val="27AC7A9A"/>
    <w:rsid w:val="27AE7D2B"/>
    <w:rsid w:val="27B50CA8"/>
    <w:rsid w:val="27B70919"/>
    <w:rsid w:val="27BC384F"/>
    <w:rsid w:val="27C941A8"/>
    <w:rsid w:val="27D019DA"/>
    <w:rsid w:val="27D70A8C"/>
    <w:rsid w:val="27D8263D"/>
    <w:rsid w:val="27D843EB"/>
    <w:rsid w:val="27DB60AA"/>
    <w:rsid w:val="27DC212D"/>
    <w:rsid w:val="27E014F2"/>
    <w:rsid w:val="27ED433A"/>
    <w:rsid w:val="27F03E2A"/>
    <w:rsid w:val="27F20B34"/>
    <w:rsid w:val="27F82CDF"/>
    <w:rsid w:val="28060F58"/>
    <w:rsid w:val="28081174"/>
    <w:rsid w:val="280E42B1"/>
    <w:rsid w:val="280E605F"/>
    <w:rsid w:val="2818512F"/>
    <w:rsid w:val="28193725"/>
    <w:rsid w:val="281A0EA7"/>
    <w:rsid w:val="281C6256"/>
    <w:rsid w:val="281F026C"/>
    <w:rsid w:val="28215D92"/>
    <w:rsid w:val="28285372"/>
    <w:rsid w:val="282E2EF2"/>
    <w:rsid w:val="282F6845"/>
    <w:rsid w:val="2830296B"/>
    <w:rsid w:val="283261F1"/>
    <w:rsid w:val="28362D61"/>
    <w:rsid w:val="283C0E1E"/>
    <w:rsid w:val="283F63A7"/>
    <w:rsid w:val="28414686"/>
    <w:rsid w:val="28445F24"/>
    <w:rsid w:val="28451171"/>
    <w:rsid w:val="28481571"/>
    <w:rsid w:val="28490AEA"/>
    <w:rsid w:val="284B1061"/>
    <w:rsid w:val="284D36A9"/>
    <w:rsid w:val="284E0B51"/>
    <w:rsid w:val="284E6B00"/>
    <w:rsid w:val="28520641"/>
    <w:rsid w:val="28537F15"/>
    <w:rsid w:val="285402C7"/>
    <w:rsid w:val="285A12A4"/>
    <w:rsid w:val="285C6DCA"/>
    <w:rsid w:val="28645A2F"/>
    <w:rsid w:val="287740D6"/>
    <w:rsid w:val="28787368"/>
    <w:rsid w:val="28795BCE"/>
    <w:rsid w:val="287A36F4"/>
    <w:rsid w:val="28822D5B"/>
    <w:rsid w:val="288307FB"/>
    <w:rsid w:val="288325A9"/>
    <w:rsid w:val="288527C5"/>
    <w:rsid w:val="28862099"/>
    <w:rsid w:val="2886653D"/>
    <w:rsid w:val="288D7435"/>
    <w:rsid w:val="288E3128"/>
    <w:rsid w:val="28902EBE"/>
    <w:rsid w:val="289403DF"/>
    <w:rsid w:val="28956780"/>
    <w:rsid w:val="28976054"/>
    <w:rsid w:val="28A013AD"/>
    <w:rsid w:val="28A95D87"/>
    <w:rsid w:val="28AA3FD9"/>
    <w:rsid w:val="28B73F84"/>
    <w:rsid w:val="28B7567B"/>
    <w:rsid w:val="28B94BDB"/>
    <w:rsid w:val="28BC1F5F"/>
    <w:rsid w:val="28BE1833"/>
    <w:rsid w:val="28C055AB"/>
    <w:rsid w:val="28C345F8"/>
    <w:rsid w:val="28C5421E"/>
    <w:rsid w:val="28C606E7"/>
    <w:rsid w:val="28CA01D8"/>
    <w:rsid w:val="28CB6703"/>
    <w:rsid w:val="28D6150A"/>
    <w:rsid w:val="28DC0A73"/>
    <w:rsid w:val="28E16D34"/>
    <w:rsid w:val="28E84B02"/>
    <w:rsid w:val="28EC45F2"/>
    <w:rsid w:val="28FB526B"/>
    <w:rsid w:val="29064F88"/>
    <w:rsid w:val="290A0F1C"/>
    <w:rsid w:val="291122AA"/>
    <w:rsid w:val="291458F7"/>
    <w:rsid w:val="2916166F"/>
    <w:rsid w:val="291E49C7"/>
    <w:rsid w:val="292026EC"/>
    <w:rsid w:val="292463F6"/>
    <w:rsid w:val="292A0D31"/>
    <w:rsid w:val="292A6944"/>
    <w:rsid w:val="292B01C4"/>
    <w:rsid w:val="29316692"/>
    <w:rsid w:val="29332221"/>
    <w:rsid w:val="29345E48"/>
    <w:rsid w:val="29363ABF"/>
    <w:rsid w:val="29375E72"/>
    <w:rsid w:val="293B7327"/>
    <w:rsid w:val="2940493E"/>
    <w:rsid w:val="2947617E"/>
    <w:rsid w:val="29484C06"/>
    <w:rsid w:val="294A4CA1"/>
    <w:rsid w:val="294A5DEF"/>
    <w:rsid w:val="29512CF0"/>
    <w:rsid w:val="295464A1"/>
    <w:rsid w:val="295C48D7"/>
    <w:rsid w:val="295E7052"/>
    <w:rsid w:val="296028EA"/>
    <w:rsid w:val="29782E9A"/>
    <w:rsid w:val="29785E86"/>
    <w:rsid w:val="29791BFE"/>
    <w:rsid w:val="297C3DE6"/>
    <w:rsid w:val="29835846"/>
    <w:rsid w:val="2985518B"/>
    <w:rsid w:val="298657BE"/>
    <w:rsid w:val="29891E41"/>
    <w:rsid w:val="298A7967"/>
    <w:rsid w:val="299627B0"/>
    <w:rsid w:val="299B6018"/>
    <w:rsid w:val="299B7DC6"/>
    <w:rsid w:val="299D3B3E"/>
    <w:rsid w:val="29A053DC"/>
    <w:rsid w:val="29AC1FD3"/>
    <w:rsid w:val="29B410D7"/>
    <w:rsid w:val="29B80978"/>
    <w:rsid w:val="29B82726"/>
    <w:rsid w:val="29BA46F0"/>
    <w:rsid w:val="29C15A7E"/>
    <w:rsid w:val="29C35AD8"/>
    <w:rsid w:val="29C56BF1"/>
    <w:rsid w:val="29C6528F"/>
    <w:rsid w:val="29CA22D7"/>
    <w:rsid w:val="29CB06AB"/>
    <w:rsid w:val="29CF181E"/>
    <w:rsid w:val="29D20787"/>
    <w:rsid w:val="29D46CFC"/>
    <w:rsid w:val="29D80549"/>
    <w:rsid w:val="29DD1966"/>
    <w:rsid w:val="29E057D9"/>
    <w:rsid w:val="29E51041"/>
    <w:rsid w:val="29E704D8"/>
    <w:rsid w:val="29EB2AFB"/>
    <w:rsid w:val="29F179E6"/>
    <w:rsid w:val="29F4208D"/>
    <w:rsid w:val="29F479D1"/>
    <w:rsid w:val="29F85218"/>
    <w:rsid w:val="29FF7106"/>
    <w:rsid w:val="2A04596B"/>
    <w:rsid w:val="2A0E0598"/>
    <w:rsid w:val="2A110088"/>
    <w:rsid w:val="2A13568C"/>
    <w:rsid w:val="2A21651D"/>
    <w:rsid w:val="2A27165A"/>
    <w:rsid w:val="2A2B114A"/>
    <w:rsid w:val="2A3008AD"/>
    <w:rsid w:val="2A340C9C"/>
    <w:rsid w:val="2A36189D"/>
    <w:rsid w:val="2A36222F"/>
    <w:rsid w:val="2A377AEF"/>
    <w:rsid w:val="2A3C3357"/>
    <w:rsid w:val="2A3F69A3"/>
    <w:rsid w:val="2A500BB0"/>
    <w:rsid w:val="2A533F28"/>
    <w:rsid w:val="2A5341FD"/>
    <w:rsid w:val="2A560924"/>
    <w:rsid w:val="2A562041"/>
    <w:rsid w:val="2A5C7555"/>
    <w:rsid w:val="2A697EC4"/>
    <w:rsid w:val="2A7025D5"/>
    <w:rsid w:val="2A720B27"/>
    <w:rsid w:val="2A7725E1"/>
    <w:rsid w:val="2A790107"/>
    <w:rsid w:val="2A7D0899"/>
    <w:rsid w:val="2A7F1496"/>
    <w:rsid w:val="2A8225EA"/>
    <w:rsid w:val="2A832D34"/>
    <w:rsid w:val="2A891537"/>
    <w:rsid w:val="2A8A0BBB"/>
    <w:rsid w:val="2A8D3BB3"/>
    <w:rsid w:val="2A9012C8"/>
    <w:rsid w:val="2A922F77"/>
    <w:rsid w:val="2A9A007E"/>
    <w:rsid w:val="2A9C2048"/>
    <w:rsid w:val="2AA30363"/>
    <w:rsid w:val="2AA9206F"/>
    <w:rsid w:val="2AB23619"/>
    <w:rsid w:val="2AB37A6C"/>
    <w:rsid w:val="2AB4113F"/>
    <w:rsid w:val="2AB54EB7"/>
    <w:rsid w:val="2AB96756"/>
    <w:rsid w:val="2ABB30F3"/>
    <w:rsid w:val="2ABB774C"/>
    <w:rsid w:val="2ABC27ED"/>
    <w:rsid w:val="2ABC5BE6"/>
    <w:rsid w:val="2ABC7FF4"/>
    <w:rsid w:val="2ABF2213"/>
    <w:rsid w:val="2AC61F66"/>
    <w:rsid w:val="2AD01CF1"/>
    <w:rsid w:val="2AD52F53"/>
    <w:rsid w:val="2AD64E6C"/>
    <w:rsid w:val="2AD74E2E"/>
    <w:rsid w:val="2ADD0767"/>
    <w:rsid w:val="2ADE7F6A"/>
    <w:rsid w:val="2AE412F9"/>
    <w:rsid w:val="2AE6776A"/>
    <w:rsid w:val="2AE92CB1"/>
    <w:rsid w:val="2AEB08D9"/>
    <w:rsid w:val="2AED63FF"/>
    <w:rsid w:val="2AEE53C9"/>
    <w:rsid w:val="2AF05EF0"/>
    <w:rsid w:val="2AF14141"/>
    <w:rsid w:val="2AF20855"/>
    <w:rsid w:val="2AF4778E"/>
    <w:rsid w:val="2AF7102C"/>
    <w:rsid w:val="2AFA0B1C"/>
    <w:rsid w:val="2AFB5311"/>
    <w:rsid w:val="2AFE23BA"/>
    <w:rsid w:val="2AFF3D0F"/>
    <w:rsid w:val="2B073E45"/>
    <w:rsid w:val="2B08148B"/>
    <w:rsid w:val="2B1C4F36"/>
    <w:rsid w:val="2B274689"/>
    <w:rsid w:val="2B2A7653"/>
    <w:rsid w:val="2B2B6FF2"/>
    <w:rsid w:val="2B2C7319"/>
    <w:rsid w:val="2B2F6A18"/>
    <w:rsid w:val="2B30453E"/>
    <w:rsid w:val="2B335E9C"/>
    <w:rsid w:val="2B37620B"/>
    <w:rsid w:val="2B3C1135"/>
    <w:rsid w:val="2B400C25"/>
    <w:rsid w:val="2B46506F"/>
    <w:rsid w:val="2B473D61"/>
    <w:rsid w:val="2B4E18B2"/>
    <w:rsid w:val="2B514BE0"/>
    <w:rsid w:val="2B577586"/>
    <w:rsid w:val="2B6111BC"/>
    <w:rsid w:val="2B616E98"/>
    <w:rsid w:val="2B632B65"/>
    <w:rsid w:val="2B651AC9"/>
    <w:rsid w:val="2B65243A"/>
    <w:rsid w:val="2B695054"/>
    <w:rsid w:val="2B6A3EF4"/>
    <w:rsid w:val="2B761B56"/>
    <w:rsid w:val="2B7803BF"/>
    <w:rsid w:val="2B7B1C5D"/>
    <w:rsid w:val="2B7E52A9"/>
    <w:rsid w:val="2B8C3E6A"/>
    <w:rsid w:val="2B8F5708"/>
    <w:rsid w:val="2BA07916"/>
    <w:rsid w:val="2BA33EDE"/>
    <w:rsid w:val="2BA4762F"/>
    <w:rsid w:val="2BA54F2C"/>
    <w:rsid w:val="2BA967CA"/>
    <w:rsid w:val="2BAC1E16"/>
    <w:rsid w:val="2BAC3ABB"/>
    <w:rsid w:val="2BBE1B4A"/>
    <w:rsid w:val="2BC366C8"/>
    <w:rsid w:val="2BCC0727"/>
    <w:rsid w:val="2BCF4F73"/>
    <w:rsid w:val="2BD001FB"/>
    <w:rsid w:val="2BD02A31"/>
    <w:rsid w:val="2BD1187D"/>
    <w:rsid w:val="2BD4136D"/>
    <w:rsid w:val="2BD90782"/>
    <w:rsid w:val="2BE121FF"/>
    <w:rsid w:val="2BE13C04"/>
    <w:rsid w:val="2BE55E39"/>
    <w:rsid w:val="2BE772F2"/>
    <w:rsid w:val="2BEA0B91"/>
    <w:rsid w:val="2BF35C97"/>
    <w:rsid w:val="2BF51A0F"/>
    <w:rsid w:val="2BFA0DD4"/>
    <w:rsid w:val="2BFA5278"/>
    <w:rsid w:val="2BFF463C"/>
    <w:rsid w:val="2C05030B"/>
    <w:rsid w:val="2C091017"/>
    <w:rsid w:val="2C0E2AD1"/>
    <w:rsid w:val="2C106849"/>
    <w:rsid w:val="2C133F94"/>
    <w:rsid w:val="2C1F326D"/>
    <w:rsid w:val="2C2C11A9"/>
    <w:rsid w:val="2C300C99"/>
    <w:rsid w:val="2C3047F6"/>
    <w:rsid w:val="2C33078A"/>
    <w:rsid w:val="2C35005E"/>
    <w:rsid w:val="2C3818FC"/>
    <w:rsid w:val="2C3A38C6"/>
    <w:rsid w:val="2C3D6F12"/>
    <w:rsid w:val="2C3E01F2"/>
    <w:rsid w:val="2C46226B"/>
    <w:rsid w:val="2C475FE3"/>
    <w:rsid w:val="2C4965E0"/>
    <w:rsid w:val="2C4C290A"/>
    <w:rsid w:val="2C4D184B"/>
    <w:rsid w:val="2C504AA5"/>
    <w:rsid w:val="2C5A0877"/>
    <w:rsid w:val="2C602C01"/>
    <w:rsid w:val="2C610E53"/>
    <w:rsid w:val="2C640943"/>
    <w:rsid w:val="2C701096"/>
    <w:rsid w:val="2C833D17"/>
    <w:rsid w:val="2C842D93"/>
    <w:rsid w:val="2C852417"/>
    <w:rsid w:val="2C8527E6"/>
    <w:rsid w:val="2C956D4E"/>
    <w:rsid w:val="2C966787"/>
    <w:rsid w:val="2C9F3729"/>
    <w:rsid w:val="2CA038A6"/>
    <w:rsid w:val="2CA60F5C"/>
    <w:rsid w:val="2CAB441F"/>
    <w:rsid w:val="2CAD22EA"/>
    <w:rsid w:val="2CAF2E84"/>
    <w:rsid w:val="2CBC077F"/>
    <w:rsid w:val="2CCA2E9C"/>
    <w:rsid w:val="2CD21D51"/>
    <w:rsid w:val="2CD47877"/>
    <w:rsid w:val="2CD535EF"/>
    <w:rsid w:val="2CDE24A4"/>
    <w:rsid w:val="2CE43832"/>
    <w:rsid w:val="2CE675AA"/>
    <w:rsid w:val="2CE92207"/>
    <w:rsid w:val="2CEA0D94"/>
    <w:rsid w:val="2CEA709A"/>
    <w:rsid w:val="2CED6B8B"/>
    <w:rsid w:val="2CF41CC7"/>
    <w:rsid w:val="2CF46CAB"/>
    <w:rsid w:val="2D020B0C"/>
    <w:rsid w:val="2D045C82"/>
    <w:rsid w:val="2D067C4C"/>
    <w:rsid w:val="2D0D15DC"/>
    <w:rsid w:val="2D117D55"/>
    <w:rsid w:val="2D167684"/>
    <w:rsid w:val="2D1D39D6"/>
    <w:rsid w:val="2D285E15"/>
    <w:rsid w:val="2D297497"/>
    <w:rsid w:val="2D2F0F51"/>
    <w:rsid w:val="2D346567"/>
    <w:rsid w:val="2D360531"/>
    <w:rsid w:val="2D37019F"/>
    <w:rsid w:val="2D376058"/>
    <w:rsid w:val="2D391DD0"/>
    <w:rsid w:val="2D393AAA"/>
    <w:rsid w:val="2D3E16D4"/>
    <w:rsid w:val="2D404F0C"/>
    <w:rsid w:val="2D483DC1"/>
    <w:rsid w:val="2D4A18E7"/>
    <w:rsid w:val="2D4A5D8B"/>
    <w:rsid w:val="2D4B2BCA"/>
    <w:rsid w:val="2D542766"/>
    <w:rsid w:val="2D56129E"/>
    <w:rsid w:val="2D564730"/>
    <w:rsid w:val="2D5704A8"/>
    <w:rsid w:val="2D5922EF"/>
    <w:rsid w:val="2D5C161A"/>
    <w:rsid w:val="2D6055AE"/>
    <w:rsid w:val="2D60735C"/>
    <w:rsid w:val="2D662499"/>
    <w:rsid w:val="2D684463"/>
    <w:rsid w:val="2D6F57F1"/>
    <w:rsid w:val="2D791B7B"/>
    <w:rsid w:val="2D7A4E79"/>
    <w:rsid w:val="2D8868B3"/>
    <w:rsid w:val="2D9139BA"/>
    <w:rsid w:val="2D945953"/>
    <w:rsid w:val="2D984D48"/>
    <w:rsid w:val="2D986EC6"/>
    <w:rsid w:val="2D987795"/>
    <w:rsid w:val="2DA11EF6"/>
    <w:rsid w:val="2DB43022"/>
    <w:rsid w:val="2DB651CE"/>
    <w:rsid w:val="2DB9081B"/>
    <w:rsid w:val="2DB94C7E"/>
    <w:rsid w:val="2DBA2F11"/>
    <w:rsid w:val="2DBB0074"/>
    <w:rsid w:val="2DBB0A37"/>
    <w:rsid w:val="2DBD5A96"/>
    <w:rsid w:val="2DBE0F27"/>
    <w:rsid w:val="2DC518B5"/>
    <w:rsid w:val="2DD41AF8"/>
    <w:rsid w:val="2DDB2E87"/>
    <w:rsid w:val="2DDB72F8"/>
    <w:rsid w:val="2DDC3961"/>
    <w:rsid w:val="2DDD3C56"/>
    <w:rsid w:val="2DDE64D3"/>
    <w:rsid w:val="2DDE7DBD"/>
    <w:rsid w:val="2DEA5B9A"/>
    <w:rsid w:val="2DEC299E"/>
    <w:rsid w:val="2DEE7A07"/>
    <w:rsid w:val="2DF17596"/>
    <w:rsid w:val="2DFB0E33"/>
    <w:rsid w:val="2DFB473A"/>
    <w:rsid w:val="2DFD2DFD"/>
    <w:rsid w:val="2DFD7910"/>
    <w:rsid w:val="2DFE26D1"/>
    <w:rsid w:val="2E075486"/>
    <w:rsid w:val="2E075A2A"/>
    <w:rsid w:val="2E075F37"/>
    <w:rsid w:val="2E0979F4"/>
    <w:rsid w:val="2E0A72C8"/>
    <w:rsid w:val="2E0B280C"/>
    <w:rsid w:val="2E0C1C2A"/>
    <w:rsid w:val="2E1204E7"/>
    <w:rsid w:val="2E163EBF"/>
    <w:rsid w:val="2E19750B"/>
    <w:rsid w:val="2E1B0DEF"/>
    <w:rsid w:val="2E1D524D"/>
    <w:rsid w:val="2E1D6FFC"/>
    <w:rsid w:val="2E254102"/>
    <w:rsid w:val="2E266B30"/>
    <w:rsid w:val="2E2C2465"/>
    <w:rsid w:val="2E314855"/>
    <w:rsid w:val="2E352597"/>
    <w:rsid w:val="2E3846CF"/>
    <w:rsid w:val="2E3D58F0"/>
    <w:rsid w:val="2E3D769E"/>
    <w:rsid w:val="2E3F6CC8"/>
    <w:rsid w:val="2E4D6432"/>
    <w:rsid w:val="2E56250D"/>
    <w:rsid w:val="2E570E9E"/>
    <w:rsid w:val="2E5A0250"/>
    <w:rsid w:val="2E5F4EFD"/>
    <w:rsid w:val="2E624A8C"/>
    <w:rsid w:val="2E625356"/>
    <w:rsid w:val="2E64464E"/>
    <w:rsid w:val="2E6D24D4"/>
    <w:rsid w:val="2E70537D"/>
    <w:rsid w:val="2E725599"/>
    <w:rsid w:val="2E8452CD"/>
    <w:rsid w:val="2E87016D"/>
    <w:rsid w:val="2E8E614B"/>
    <w:rsid w:val="2E986407"/>
    <w:rsid w:val="2E9D7C27"/>
    <w:rsid w:val="2E9F452D"/>
    <w:rsid w:val="2EA1128C"/>
    <w:rsid w:val="2EA339A5"/>
    <w:rsid w:val="2EA35084"/>
    <w:rsid w:val="2EA44F73"/>
    <w:rsid w:val="2EA67C3E"/>
    <w:rsid w:val="2EA80FBB"/>
    <w:rsid w:val="2EA94D33"/>
    <w:rsid w:val="2EAD4FD6"/>
    <w:rsid w:val="2EB86D24"/>
    <w:rsid w:val="2EBA2A9C"/>
    <w:rsid w:val="2EBA484A"/>
    <w:rsid w:val="2EBD258D"/>
    <w:rsid w:val="2EC1207D"/>
    <w:rsid w:val="2EC27BA3"/>
    <w:rsid w:val="2ED27DE6"/>
    <w:rsid w:val="2ED31DB0"/>
    <w:rsid w:val="2ED33B5E"/>
    <w:rsid w:val="2ED81174"/>
    <w:rsid w:val="2ED83315"/>
    <w:rsid w:val="2EDC6725"/>
    <w:rsid w:val="2EE144CD"/>
    <w:rsid w:val="2EE23639"/>
    <w:rsid w:val="2EE45D6B"/>
    <w:rsid w:val="2EE96D84"/>
    <w:rsid w:val="2EED10C4"/>
    <w:rsid w:val="2EED6B95"/>
    <w:rsid w:val="2EF22C0E"/>
    <w:rsid w:val="2EF70C31"/>
    <w:rsid w:val="2EF97A69"/>
    <w:rsid w:val="2EFC30B5"/>
    <w:rsid w:val="2F0C7DFA"/>
    <w:rsid w:val="2F130CDF"/>
    <w:rsid w:val="2F1403FE"/>
    <w:rsid w:val="2F1436C1"/>
    <w:rsid w:val="2F154FC6"/>
    <w:rsid w:val="2F1579DD"/>
    <w:rsid w:val="2F1E127D"/>
    <w:rsid w:val="2F2303A5"/>
    <w:rsid w:val="2F230642"/>
    <w:rsid w:val="2F2443BA"/>
    <w:rsid w:val="2F285C58"/>
    <w:rsid w:val="2F2C743F"/>
    <w:rsid w:val="2F2E5C10"/>
    <w:rsid w:val="2F351104"/>
    <w:rsid w:val="2F37233F"/>
    <w:rsid w:val="2F3740ED"/>
    <w:rsid w:val="2F391C13"/>
    <w:rsid w:val="2F3F3F8A"/>
    <w:rsid w:val="2F414F6C"/>
    <w:rsid w:val="2F430CE4"/>
    <w:rsid w:val="2F436F36"/>
    <w:rsid w:val="2F443246"/>
    <w:rsid w:val="2F4A0E40"/>
    <w:rsid w:val="2F4A3E20"/>
    <w:rsid w:val="2F4C2592"/>
    <w:rsid w:val="2F4F1437"/>
    <w:rsid w:val="2F500F70"/>
    <w:rsid w:val="2F513423"/>
    <w:rsid w:val="2F522CD5"/>
    <w:rsid w:val="2F542EF1"/>
    <w:rsid w:val="2F594063"/>
    <w:rsid w:val="2F5C3B54"/>
    <w:rsid w:val="2F5C7FF7"/>
    <w:rsid w:val="2F5E167A"/>
    <w:rsid w:val="2F6824F8"/>
    <w:rsid w:val="2F69634B"/>
    <w:rsid w:val="2F6C023B"/>
    <w:rsid w:val="2F6F7D2B"/>
    <w:rsid w:val="2F742084"/>
    <w:rsid w:val="2F745341"/>
    <w:rsid w:val="2F8530AA"/>
    <w:rsid w:val="2F8B32B4"/>
    <w:rsid w:val="2F917CA1"/>
    <w:rsid w:val="2F944666"/>
    <w:rsid w:val="2F972FE7"/>
    <w:rsid w:val="2F981C86"/>
    <w:rsid w:val="2F990904"/>
    <w:rsid w:val="2F9E4A58"/>
    <w:rsid w:val="2FA06136"/>
    <w:rsid w:val="2FA37066"/>
    <w:rsid w:val="2FA572A9"/>
    <w:rsid w:val="2FA774C5"/>
    <w:rsid w:val="2FAB0637"/>
    <w:rsid w:val="2FAC6889"/>
    <w:rsid w:val="2FB63264"/>
    <w:rsid w:val="2FBD0A96"/>
    <w:rsid w:val="2FC11C09"/>
    <w:rsid w:val="2FC516F9"/>
    <w:rsid w:val="2FC8743B"/>
    <w:rsid w:val="2FCD4A51"/>
    <w:rsid w:val="2FCD67FF"/>
    <w:rsid w:val="2FCE2CA3"/>
    <w:rsid w:val="2FD46B4E"/>
    <w:rsid w:val="2FEA5A9B"/>
    <w:rsid w:val="2FF05E31"/>
    <w:rsid w:val="2FF41FDE"/>
    <w:rsid w:val="2FF832CE"/>
    <w:rsid w:val="2FF87D20"/>
    <w:rsid w:val="300541EB"/>
    <w:rsid w:val="300764FB"/>
    <w:rsid w:val="30110DE2"/>
    <w:rsid w:val="30122389"/>
    <w:rsid w:val="30142680"/>
    <w:rsid w:val="30233DF8"/>
    <w:rsid w:val="302E3742"/>
    <w:rsid w:val="302F411F"/>
    <w:rsid w:val="303348B4"/>
    <w:rsid w:val="30337C70"/>
    <w:rsid w:val="3037780B"/>
    <w:rsid w:val="3038636F"/>
    <w:rsid w:val="30395C43"/>
    <w:rsid w:val="303A5EE3"/>
    <w:rsid w:val="303A63C4"/>
    <w:rsid w:val="304545E8"/>
    <w:rsid w:val="304F36B8"/>
    <w:rsid w:val="30515682"/>
    <w:rsid w:val="30517BCC"/>
    <w:rsid w:val="30553894"/>
    <w:rsid w:val="305667F5"/>
    <w:rsid w:val="30601421"/>
    <w:rsid w:val="30623E6F"/>
    <w:rsid w:val="30641ADB"/>
    <w:rsid w:val="30656A38"/>
    <w:rsid w:val="306E1D90"/>
    <w:rsid w:val="30707BC9"/>
    <w:rsid w:val="30843362"/>
    <w:rsid w:val="308710A4"/>
    <w:rsid w:val="30872EA8"/>
    <w:rsid w:val="30897B30"/>
    <w:rsid w:val="30901D07"/>
    <w:rsid w:val="30937A49"/>
    <w:rsid w:val="30986AF1"/>
    <w:rsid w:val="309C4F73"/>
    <w:rsid w:val="309C68FD"/>
    <w:rsid w:val="309D6C3D"/>
    <w:rsid w:val="30A752A2"/>
    <w:rsid w:val="30A86B09"/>
    <w:rsid w:val="30A9726C"/>
    <w:rsid w:val="30AE03DF"/>
    <w:rsid w:val="30B5176D"/>
    <w:rsid w:val="30BC6FA0"/>
    <w:rsid w:val="30BD6874"/>
    <w:rsid w:val="30BE6CA1"/>
    <w:rsid w:val="30C145B6"/>
    <w:rsid w:val="30CF51B6"/>
    <w:rsid w:val="30D047F9"/>
    <w:rsid w:val="30D20571"/>
    <w:rsid w:val="30DC4F4C"/>
    <w:rsid w:val="30DF67EA"/>
    <w:rsid w:val="30E20088"/>
    <w:rsid w:val="30E262DA"/>
    <w:rsid w:val="30EC0F07"/>
    <w:rsid w:val="30EE1123"/>
    <w:rsid w:val="30EF0975"/>
    <w:rsid w:val="30F229C1"/>
    <w:rsid w:val="30FF50DE"/>
    <w:rsid w:val="310B6367"/>
    <w:rsid w:val="31114E69"/>
    <w:rsid w:val="31210BB1"/>
    <w:rsid w:val="31230DCD"/>
    <w:rsid w:val="31273193"/>
    <w:rsid w:val="3129149D"/>
    <w:rsid w:val="31380725"/>
    <w:rsid w:val="31411841"/>
    <w:rsid w:val="31412584"/>
    <w:rsid w:val="31413001"/>
    <w:rsid w:val="31440D43"/>
    <w:rsid w:val="314C4279"/>
    <w:rsid w:val="314F1BC2"/>
    <w:rsid w:val="3152489D"/>
    <w:rsid w:val="31532D34"/>
    <w:rsid w:val="31543FFF"/>
    <w:rsid w:val="31571EE5"/>
    <w:rsid w:val="3162252D"/>
    <w:rsid w:val="31657B2E"/>
    <w:rsid w:val="316F5DC0"/>
    <w:rsid w:val="3175714F"/>
    <w:rsid w:val="317A4765"/>
    <w:rsid w:val="317C228B"/>
    <w:rsid w:val="317D35B0"/>
    <w:rsid w:val="318178A1"/>
    <w:rsid w:val="31837ABD"/>
    <w:rsid w:val="31857392"/>
    <w:rsid w:val="318C5D0B"/>
    <w:rsid w:val="318E17C1"/>
    <w:rsid w:val="31945827"/>
    <w:rsid w:val="319B6BB5"/>
    <w:rsid w:val="31A11CF2"/>
    <w:rsid w:val="31A6555A"/>
    <w:rsid w:val="31A812D2"/>
    <w:rsid w:val="31A95163"/>
    <w:rsid w:val="31B00187"/>
    <w:rsid w:val="31B25CAD"/>
    <w:rsid w:val="31BE28A4"/>
    <w:rsid w:val="31C205E6"/>
    <w:rsid w:val="31C559E0"/>
    <w:rsid w:val="31C854D0"/>
    <w:rsid w:val="31CE5E29"/>
    <w:rsid w:val="31CF4714"/>
    <w:rsid w:val="31D125D7"/>
    <w:rsid w:val="31D20482"/>
    <w:rsid w:val="31DD71E1"/>
    <w:rsid w:val="31E22A36"/>
    <w:rsid w:val="31E83DC4"/>
    <w:rsid w:val="31EA1FAA"/>
    <w:rsid w:val="32021A78"/>
    <w:rsid w:val="320504D2"/>
    <w:rsid w:val="32052280"/>
    <w:rsid w:val="320566E6"/>
    <w:rsid w:val="320B18E8"/>
    <w:rsid w:val="320C360F"/>
    <w:rsid w:val="32186458"/>
    <w:rsid w:val="321C57F5"/>
    <w:rsid w:val="321D0901"/>
    <w:rsid w:val="32244DFC"/>
    <w:rsid w:val="322748ED"/>
    <w:rsid w:val="32361946"/>
    <w:rsid w:val="323642C1"/>
    <w:rsid w:val="323C1542"/>
    <w:rsid w:val="3240775C"/>
    <w:rsid w:val="32480E2D"/>
    <w:rsid w:val="324F174E"/>
    <w:rsid w:val="32537490"/>
    <w:rsid w:val="32563779"/>
    <w:rsid w:val="32594F85"/>
    <w:rsid w:val="326351F9"/>
    <w:rsid w:val="32672F3B"/>
    <w:rsid w:val="32676A97"/>
    <w:rsid w:val="32686B23"/>
    <w:rsid w:val="32690A61"/>
    <w:rsid w:val="326E6078"/>
    <w:rsid w:val="32727D48"/>
    <w:rsid w:val="32737B32"/>
    <w:rsid w:val="3276317E"/>
    <w:rsid w:val="32770E9D"/>
    <w:rsid w:val="328B7643"/>
    <w:rsid w:val="32954761"/>
    <w:rsid w:val="32981347"/>
    <w:rsid w:val="32996792"/>
    <w:rsid w:val="329E0AFD"/>
    <w:rsid w:val="329E387D"/>
    <w:rsid w:val="32A41A99"/>
    <w:rsid w:val="32A63A63"/>
    <w:rsid w:val="32A75F18"/>
    <w:rsid w:val="32A7650D"/>
    <w:rsid w:val="32A85CEA"/>
    <w:rsid w:val="32A93554"/>
    <w:rsid w:val="32A970B0"/>
    <w:rsid w:val="32AA46AE"/>
    <w:rsid w:val="32AC2C72"/>
    <w:rsid w:val="32B2044E"/>
    <w:rsid w:val="32CC3E2A"/>
    <w:rsid w:val="32CE2FBA"/>
    <w:rsid w:val="32D0288E"/>
    <w:rsid w:val="32DA54BB"/>
    <w:rsid w:val="32DB1233"/>
    <w:rsid w:val="32DB5E41"/>
    <w:rsid w:val="32E26A66"/>
    <w:rsid w:val="32E4633A"/>
    <w:rsid w:val="32E7407C"/>
    <w:rsid w:val="32E75E2A"/>
    <w:rsid w:val="32F07A5B"/>
    <w:rsid w:val="32F50547"/>
    <w:rsid w:val="32FA603E"/>
    <w:rsid w:val="32FB0C39"/>
    <w:rsid w:val="32FB3683"/>
    <w:rsid w:val="3300608A"/>
    <w:rsid w:val="33016E01"/>
    <w:rsid w:val="3307027A"/>
    <w:rsid w:val="330E7C2A"/>
    <w:rsid w:val="331D6EE9"/>
    <w:rsid w:val="33264BA4"/>
    <w:rsid w:val="33296443"/>
    <w:rsid w:val="332A220B"/>
    <w:rsid w:val="332C1A8F"/>
    <w:rsid w:val="332D3B0D"/>
    <w:rsid w:val="333472C1"/>
    <w:rsid w:val="333F7F08"/>
    <w:rsid w:val="3341378C"/>
    <w:rsid w:val="334B63B9"/>
    <w:rsid w:val="33550FE6"/>
    <w:rsid w:val="335C1BBE"/>
    <w:rsid w:val="335D518A"/>
    <w:rsid w:val="3368761D"/>
    <w:rsid w:val="33727DEA"/>
    <w:rsid w:val="337551E4"/>
    <w:rsid w:val="33775400"/>
    <w:rsid w:val="33784CD4"/>
    <w:rsid w:val="337949B6"/>
    <w:rsid w:val="337A3BE4"/>
    <w:rsid w:val="337C2A16"/>
    <w:rsid w:val="337E053C"/>
    <w:rsid w:val="33825530"/>
    <w:rsid w:val="33896EE1"/>
    <w:rsid w:val="338F0E0F"/>
    <w:rsid w:val="33914A7E"/>
    <w:rsid w:val="33940F2B"/>
    <w:rsid w:val="339E0D7C"/>
    <w:rsid w:val="33A740E4"/>
    <w:rsid w:val="33AB783C"/>
    <w:rsid w:val="33AC1DA4"/>
    <w:rsid w:val="33AE1B2B"/>
    <w:rsid w:val="33B026C0"/>
    <w:rsid w:val="33B828B4"/>
    <w:rsid w:val="33BD71B1"/>
    <w:rsid w:val="33C1667B"/>
    <w:rsid w:val="33C323F3"/>
    <w:rsid w:val="33C3411E"/>
    <w:rsid w:val="33C366D6"/>
    <w:rsid w:val="33CA19D4"/>
    <w:rsid w:val="33CB74FA"/>
    <w:rsid w:val="33CE69DA"/>
    <w:rsid w:val="33D068BE"/>
    <w:rsid w:val="33D60378"/>
    <w:rsid w:val="33D75E9F"/>
    <w:rsid w:val="33E00D1E"/>
    <w:rsid w:val="33E02FA5"/>
    <w:rsid w:val="33E06A18"/>
    <w:rsid w:val="33E5680D"/>
    <w:rsid w:val="33E81224"/>
    <w:rsid w:val="33E94762"/>
    <w:rsid w:val="33EA5BD2"/>
    <w:rsid w:val="33ED56C2"/>
    <w:rsid w:val="33EE309F"/>
    <w:rsid w:val="33F407FF"/>
    <w:rsid w:val="33FA34D6"/>
    <w:rsid w:val="33FB7DDF"/>
    <w:rsid w:val="3402116D"/>
    <w:rsid w:val="34027112"/>
    <w:rsid w:val="34033F22"/>
    <w:rsid w:val="34052A0C"/>
    <w:rsid w:val="340D7B12"/>
    <w:rsid w:val="340F73E6"/>
    <w:rsid w:val="3411315F"/>
    <w:rsid w:val="34117602"/>
    <w:rsid w:val="341221E4"/>
    <w:rsid w:val="34124E13"/>
    <w:rsid w:val="341964B7"/>
    <w:rsid w:val="3421711A"/>
    <w:rsid w:val="34234570"/>
    <w:rsid w:val="34250159"/>
    <w:rsid w:val="34256C0A"/>
    <w:rsid w:val="342866FA"/>
    <w:rsid w:val="34321327"/>
    <w:rsid w:val="343356B6"/>
    <w:rsid w:val="343608D7"/>
    <w:rsid w:val="343B642D"/>
    <w:rsid w:val="344057F2"/>
    <w:rsid w:val="344124B5"/>
    <w:rsid w:val="344828F8"/>
    <w:rsid w:val="345474EF"/>
    <w:rsid w:val="34563267"/>
    <w:rsid w:val="34594B05"/>
    <w:rsid w:val="345D63A4"/>
    <w:rsid w:val="346040E6"/>
    <w:rsid w:val="346F3D2D"/>
    <w:rsid w:val="34750FF1"/>
    <w:rsid w:val="347A51A8"/>
    <w:rsid w:val="347B4A7C"/>
    <w:rsid w:val="34825E0A"/>
    <w:rsid w:val="348502AF"/>
    <w:rsid w:val="3489363D"/>
    <w:rsid w:val="348A1163"/>
    <w:rsid w:val="348E2A01"/>
    <w:rsid w:val="3490371B"/>
    <w:rsid w:val="3490711A"/>
    <w:rsid w:val="34951FE2"/>
    <w:rsid w:val="349E42F3"/>
    <w:rsid w:val="34A843EE"/>
    <w:rsid w:val="34AB35B3"/>
    <w:rsid w:val="34AB4277"/>
    <w:rsid w:val="34B0365E"/>
    <w:rsid w:val="34B04027"/>
    <w:rsid w:val="34B34216"/>
    <w:rsid w:val="34B846D8"/>
    <w:rsid w:val="34BA1A48"/>
    <w:rsid w:val="34BE2395"/>
    <w:rsid w:val="34C208FD"/>
    <w:rsid w:val="34C401D1"/>
    <w:rsid w:val="34CB7A84"/>
    <w:rsid w:val="34D16D92"/>
    <w:rsid w:val="34DA0A32"/>
    <w:rsid w:val="34DA3E98"/>
    <w:rsid w:val="34E00500"/>
    <w:rsid w:val="34E271DB"/>
    <w:rsid w:val="34E31ECA"/>
    <w:rsid w:val="34E70363"/>
    <w:rsid w:val="34E8355F"/>
    <w:rsid w:val="34E95E89"/>
    <w:rsid w:val="34EB1C02"/>
    <w:rsid w:val="34ED01F9"/>
    <w:rsid w:val="34F3251A"/>
    <w:rsid w:val="34F767F8"/>
    <w:rsid w:val="34FA3BF3"/>
    <w:rsid w:val="34FB5BBD"/>
    <w:rsid w:val="34FD6632"/>
    <w:rsid w:val="34FF38FF"/>
    <w:rsid w:val="350D6520"/>
    <w:rsid w:val="35102854"/>
    <w:rsid w:val="351153E0"/>
    <w:rsid w:val="35154ED0"/>
    <w:rsid w:val="35170C48"/>
    <w:rsid w:val="351D5B33"/>
    <w:rsid w:val="351D5E50"/>
    <w:rsid w:val="35215623"/>
    <w:rsid w:val="352F4BE2"/>
    <w:rsid w:val="352F6829"/>
    <w:rsid w:val="35303AB8"/>
    <w:rsid w:val="35315C5F"/>
    <w:rsid w:val="353335A8"/>
    <w:rsid w:val="35346E71"/>
    <w:rsid w:val="353C73EE"/>
    <w:rsid w:val="353F3CFB"/>
    <w:rsid w:val="354A25F1"/>
    <w:rsid w:val="354D6418"/>
    <w:rsid w:val="354E03E2"/>
    <w:rsid w:val="355552CD"/>
    <w:rsid w:val="3558300F"/>
    <w:rsid w:val="35587945"/>
    <w:rsid w:val="355A46C0"/>
    <w:rsid w:val="355C275C"/>
    <w:rsid w:val="355F7EFA"/>
    <w:rsid w:val="3563766B"/>
    <w:rsid w:val="35690D78"/>
    <w:rsid w:val="356D3B09"/>
    <w:rsid w:val="3575771D"/>
    <w:rsid w:val="35777939"/>
    <w:rsid w:val="3578720D"/>
    <w:rsid w:val="357A21F9"/>
    <w:rsid w:val="357D178E"/>
    <w:rsid w:val="357E1914"/>
    <w:rsid w:val="358636D8"/>
    <w:rsid w:val="358E1692"/>
    <w:rsid w:val="35904557"/>
    <w:rsid w:val="35926DF7"/>
    <w:rsid w:val="35944047"/>
    <w:rsid w:val="359978AF"/>
    <w:rsid w:val="359D0A22"/>
    <w:rsid w:val="35A10512"/>
    <w:rsid w:val="35A41DB0"/>
    <w:rsid w:val="35A528F9"/>
    <w:rsid w:val="35AA386B"/>
    <w:rsid w:val="35AB313F"/>
    <w:rsid w:val="35B20971"/>
    <w:rsid w:val="35B335B9"/>
    <w:rsid w:val="35B53FBD"/>
    <w:rsid w:val="35BD27BB"/>
    <w:rsid w:val="35CE4990"/>
    <w:rsid w:val="35CF1523"/>
    <w:rsid w:val="35D5640E"/>
    <w:rsid w:val="35D96160"/>
    <w:rsid w:val="35D97FEB"/>
    <w:rsid w:val="35DC154A"/>
    <w:rsid w:val="35E36D7D"/>
    <w:rsid w:val="35E72BB1"/>
    <w:rsid w:val="35ED3757"/>
    <w:rsid w:val="35F42D38"/>
    <w:rsid w:val="35F44AE6"/>
    <w:rsid w:val="35F848D7"/>
    <w:rsid w:val="35F86FC8"/>
    <w:rsid w:val="35F9034E"/>
    <w:rsid w:val="35FA3F8B"/>
    <w:rsid w:val="360016DD"/>
    <w:rsid w:val="36010987"/>
    <w:rsid w:val="36064819"/>
    <w:rsid w:val="361433DA"/>
    <w:rsid w:val="36162CAE"/>
    <w:rsid w:val="361909F0"/>
    <w:rsid w:val="361E27B8"/>
    <w:rsid w:val="36233059"/>
    <w:rsid w:val="3623361D"/>
    <w:rsid w:val="36252EF1"/>
    <w:rsid w:val="362A1092"/>
    <w:rsid w:val="362F0D76"/>
    <w:rsid w:val="362F5B1E"/>
    <w:rsid w:val="36315173"/>
    <w:rsid w:val="36363350"/>
    <w:rsid w:val="363C023B"/>
    <w:rsid w:val="36435A6D"/>
    <w:rsid w:val="36481A96"/>
    <w:rsid w:val="36496E05"/>
    <w:rsid w:val="364A6DFC"/>
    <w:rsid w:val="364C2B74"/>
    <w:rsid w:val="364C66D0"/>
    <w:rsid w:val="364F61C0"/>
    <w:rsid w:val="36571CEF"/>
    <w:rsid w:val="365D08DD"/>
    <w:rsid w:val="365F78A0"/>
    <w:rsid w:val="36602A8F"/>
    <w:rsid w:val="36622FCC"/>
    <w:rsid w:val="36653C36"/>
    <w:rsid w:val="366859A9"/>
    <w:rsid w:val="366C0B20"/>
    <w:rsid w:val="366F23BE"/>
    <w:rsid w:val="3671381E"/>
    <w:rsid w:val="367C4ADB"/>
    <w:rsid w:val="368247AC"/>
    <w:rsid w:val="36835E6A"/>
    <w:rsid w:val="36842573"/>
    <w:rsid w:val="36897924"/>
    <w:rsid w:val="368A71F8"/>
    <w:rsid w:val="368E0826"/>
    <w:rsid w:val="368E7383"/>
    <w:rsid w:val="369D517D"/>
    <w:rsid w:val="36A03C60"/>
    <w:rsid w:val="36A16308"/>
    <w:rsid w:val="36A235FE"/>
    <w:rsid w:val="36A554AB"/>
    <w:rsid w:val="36A5784A"/>
    <w:rsid w:val="36A71B58"/>
    <w:rsid w:val="36AA1648"/>
    <w:rsid w:val="36AA33F6"/>
    <w:rsid w:val="36AC3612"/>
    <w:rsid w:val="36B10CBA"/>
    <w:rsid w:val="36B349A1"/>
    <w:rsid w:val="36B44275"/>
    <w:rsid w:val="36C152D7"/>
    <w:rsid w:val="36C82EDB"/>
    <w:rsid w:val="36C901BA"/>
    <w:rsid w:val="36CD6D52"/>
    <w:rsid w:val="36CE17DB"/>
    <w:rsid w:val="36D641EB"/>
    <w:rsid w:val="36DA0180"/>
    <w:rsid w:val="36DF387C"/>
    <w:rsid w:val="36F37A6F"/>
    <w:rsid w:val="36F6656A"/>
    <w:rsid w:val="36FD3E6E"/>
    <w:rsid w:val="36FF3742"/>
    <w:rsid w:val="37040C72"/>
    <w:rsid w:val="37074103"/>
    <w:rsid w:val="37081A1A"/>
    <w:rsid w:val="37093E8E"/>
    <w:rsid w:val="370F76FD"/>
    <w:rsid w:val="37103BA1"/>
    <w:rsid w:val="37180825"/>
    <w:rsid w:val="37197608"/>
    <w:rsid w:val="371B60A2"/>
    <w:rsid w:val="3727713D"/>
    <w:rsid w:val="372E4027"/>
    <w:rsid w:val="37321D6A"/>
    <w:rsid w:val="37322E09"/>
    <w:rsid w:val="37332C16"/>
    <w:rsid w:val="3733594B"/>
    <w:rsid w:val="37335AE2"/>
    <w:rsid w:val="373830F8"/>
    <w:rsid w:val="37403D5B"/>
    <w:rsid w:val="374516ED"/>
    <w:rsid w:val="37500442"/>
    <w:rsid w:val="375211ED"/>
    <w:rsid w:val="375515B4"/>
    <w:rsid w:val="3757357E"/>
    <w:rsid w:val="375872F6"/>
    <w:rsid w:val="375A4E1C"/>
    <w:rsid w:val="37620D40"/>
    <w:rsid w:val="37661A13"/>
    <w:rsid w:val="37686987"/>
    <w:rsid w:val="37732382"/>
    <w:rsid w:val="37737C8C"/>
    <w:rsid w:val="37751C56"/>
    <w:rsid w:val="37757EA8"/>
    <w:rsid w:val="377F2AD5"/>
    <w:rsid w:val="377F5981"/>
    <w:rsid w:val="37887EE9"/>
    <w:rsid w:val="378F142A"/>
    <w:rsid w:val="378F326F"/>
    <w:rsid w:val="3793088B"/>
    <w:rsid w:val="37934D97"/>
    <w:rsid w:val="379B4F0B"/>
    <w:rsid w:val="379C347D"/>
    <w:rsid w:val="379C71E3"/>
    <w:rsid w:val="379E73FF"/>
    <w:rsid w:val="37AA195A"/>
    <w:rsid w:val="37AB38CA"/>
    <w:rsid w:val="37AB3A24"/>
    <w:rsid w:val="37AB7764"/>
    <w:rsid w:val="37AE38B9"/>
    <w:rsid w:val="37AE6F16"/>
    <w:rsid w:val="37B02C8E"/>
    <w:rsid w:val="37B207B5"/>
    <w:rsid w:val="37BD1237"/>
    <w:rsid w:val="37BE184F"/>
    <w:rsid w:val="37C36E66"/>
    <w:rsid w:val="37D03331"/>
    <w:rsid w:val="37D83F93"/>
    <w:rsid w:val="37DD7501"/>
    <w:rsid w:val="37DF5322"/>
    <w:rsid w:val="37E33064"/>
    <w:rsid w:val="37E44A59"/>
    <w:rsid w:val="37E45D86"/>
    <w:rsid w:val="37EB1F18"/>
    <w:rsid w:val="37ED5C91"/>
    <w:rsid w:val="37EF6902"/>
    <w:rsid w:val="37F43748"/>
    <w:rsid w:val="37F52CD7"/>
    <w:rsid w:val="37F60FE9"/>
    <w:rsid w:val="37FE6CB6"/>
    <w:rsid w:val="38033706"/>
    <w:rsid w:val="380354B4"/>
    <w:rsid w:val="380B6117"/>
    <w:rsid w:val="381A45AC"/>
    <w:rsid w:val="381B3D09"/>
    <w:rsid w:val="381E409C"/>
    <w:rsid w:val="382567CE"/>
    <w:rsid w:val="382673F4"/>
    <w:rsid w:val="382A0C93"/>
    <w:rsid w:val="382D42DF"/>
    <w:rsid w:val="38325D99"/>
    <w:rsid w:val="38390ED6"/>
    <w:rsid w:val="38392C84"/>
    <w:rsid w:val="383A0932"/>
    <w:rsid w:val="384D4981"/>
    <w:rsid w:val="384F06F9"/>
    <w:rsid w:val="384F4255"/>
    <w:rsid w:val="385363F8"/>
    <w:rsid w:val="385502AF"/>
    <w:rsid w:val="38593326"/>
    <w:rsid w:val="38594359"/>
    <w:rsid w:val="385A45CA"/>
    <w:rsid w:val="385C4BC4"/>
    <w:rsid w:val="385F50DA"/>
    <w:rsid w:val="386B4E07"/>
    <w:rsid w:val="387243E8"/>
    <w:rsid w:val="38743CBC"/>
    <w:rsid w:val="38767A34"/>
    <w:rsid w:val="388473AC"/>
    <w:rsid w:val="388859B9"/>
    <w:rsid w:val="388C36FB"/>
    <w:rsid w:val="388D28F1"/>
    <w:rsid w:val="388D2FD0"/>
    <w:rsid w:val="388E7474"/>
    <w:rsid w:val="3890015D"/>
    <w:rsid w:val="389425B0"/>
    <w:rsid w:val="38975BFC"/>
    <w:rsid w:val="38997BC6"/>
    <w:rsid w:val="389A3096"/>
    <w:rsid w:val="38A1094F"/>
    <w:rsid w:val="38A65E3F"/>
    <w:rsid w:val="38AF5ECD"/>
    <w:rsid w:val="38B36EDA"/>
    <w:rsid w:val="38B73FF6"/>
    <w:rsid w:val="38BC0FAC"/>
    <w:rsid w:val="38C06F01"/>
    <w:rsid w:val="38C2711D"/>
    <w:rsid w:val="38C5252E"/>
    <w:rsid w:val="38CD7870"/>
    <w:rsid w:val="38CF5968"/>
    <w:rsid w:val="38D8249D"/>
    <w:rsid w:val="38DE382B"/>
    <w:rsid w:val="38E27111"/>
    <w:rsid w:val="38E5105E"/>
    <w:rsid w:val="38E93884"/>
    <w:rsid w:val="38EA29C6"/>
    <w:rsid w:val="38EA6674"/>
    <w:rsid w:val="38F36C77"/>
    <w:rsid w:val="38F66DC7"/>
    <w:rsid w:val="38F82B3F"/>
    <w:rsid w:val="38F8669B"/>
    <w:rsid w:val="38F90665"/>
    <w:rsid w:val="390239BE"/>
    <w:rsid w:val="39083EF3"/>
    <w:rsid w:val="390A4620"/>
    <w:rsid w:val="390B3941"/>
    <w:rsid w:val="390F7E89"/>
    <w:rsid w:val="3911207C"/>
    <w:rsid w:val="391D25A6"/>
    <w:rsid w:val="391F631E"/>
    <w:rsid w:val="3920048F"/>
    <w:rsid w:val="3922196A"/>
    <w:rsid w:val="39233381"/>
    <w:rsid w:val="392C27E9"/>
    <w:rsid w:val="393533BF"/>
    <w:rsid w:val="393618B9"/>
    <w:rsid w:val="393D49F6"/>
    <w:rsid w:val="393F42CA"/>
    <w:rsid w:val="39423DBA"/>
    <w:rsid w:val="39432432"/>
    <w:rsid w:val="39433B79"/>
    <w:rsid w:val="39450A69"/>
    <w:rsid w:val="394E55CB"/>
    <w:rsid w:val="395A3AA5"/>
    <w:rsid w:val="395B30CE"/>
    <w:rsid w:val="395D2FD5"/>
    <w:rsid w:val="396106E4"/>
    <w:rsid w:val="39614828"/>
    <w:rsid w:val="39693A3D"/>
    <w:rsid w:val="396F26D5"/>
    <w:rsid w:val="3971469F"/>
    <w:rsid w:val="3971644D"/>
    <w:rsid w:val="39726493"/>
    <w:rsid w:val="397877DC"/>
    <w:rsid w:val="397F1C1B"/>
    <w:rsid w:val="3986014B"/>
    <w:rsid w:val="398B2FAA"/>
    <w:rsid w:val="398B750F"/>
    <w:rsid w:val="398C3287"/>
    <w:rsid w:val="398C7A7C"/>
    <w:rsid w:val="399D4784"/>
    <w:rsid w:val="39A71E6F"/>
    <w:rsid w:val="39AE1450"/>
    <w:rsid w:val="39B2551A"/>
    <w:rsid w:val="39BF365D"/>
    <w:rsid w:val="39C0280B"/>
    <w:rsid w:val="39C742BF"/>
    <w:rsid w:val="39C8596A"/>
    <w:rsid w:val="39D13674"/>
    <w:rsid w:val="39D37AFF"/>
    <w:rsid w:val="39D47342"/>
    <w:rsid w:val="39DE7F87"/>
    <w:rsid w:val="39E4786A"/>
    <w:rsid w:val="39E62997"/>
    <w:rsid w:val="39E81088"/>
    <w:rsid w:val="39F53946"/>
    <w:rsid w:val="39F53F57"/>
    <w:rsid w:val="3A06303A"/>
    <w:rsid w:val="3A080B60"/>
    <w:rsid w:val="3A085004"/>
    <w:rsid w:val="3A086DB2"/>
    <w:rsid w:val="3A2B0CF2"/>
    <w:rsid w:val="3A325BDD"/>
    <w:rsid w:val="3A361B71"/>
    <w:rsid w:val="3A377697"/>
    <w:rsid w:val="3A3E7B24"/>
    <w:rsid w:val="3A4002C6"/>
    <w:rsid w:val="3A43428E"/>
    <w:rsid w:val="3A49101B"/>
    <w:rsid w:val="3A4B3142"/>
    <w:rsid w:val="3A612966"/>
    <w:rsid w:val="3A6473DA"/>
    <w:rsid w:val="3A675E99"/>
    <w:rsid w:val="3A695377"/>
    <w:rsid w:val="3A6B7341"/>
    <w:rsid w:val="3A6C1B9F"/>
    <w:rsid w:val="3A6D50AF"/>
    <w:rsid w:val="3A703F07"/>
    <w:rsid w:val="3A704957"/>
    <w:rsid w:val="3A742699"/>
    <w:rsid w:val="3A8B1E3B"/>
    <w:rsid w:val="3A8D375B"/>
    <w:rsid w:val="3A92350D"/>
    <w:rsid w:val="3AA60379"/>
    <w:rsid w:val="3AAF547F"/>
    <w:rsid w:val="3AB31DBA"/>
    <w:rsid w:val="3AB57A2D"/>
    <w:rsid w:val="3AB965D6"/>
    <w:rsid w:val="3AC058DE"/>
    <w:rsid w:val="3AC21656"/>
    <w:rsid w:val="3AC30F2B"/>
    <w:rsid w:val="3AC8335E"/>
    <w:rsid w:val="3ADC342E"/>
    <w:rsid w:val="3AE01ADD"/>
    <w:rsid w:val="3AE07D71"/>
    <w:rsid w:val="3AE27603"/>
    <w:rsid w:val="3AE83550"/>
    <w:rsid w:val="3AE90A3C"/>
    <w:rsid w:val="3AF57161"/>
    <w:rsid w:val="3AF7527D"/>
    <w:rsid w:val="3AFD268F"/>
    <w:rsid w:val="3B006932"/>
    <w:rsid w:val="3B032748"/>
    <w:rsid w:val="3B051543"/>
    <w:rsid w:val="3B0B6384"/>
    <w:rsid w:val="3B0C28D2"/>
    <w:rsid w:val="3B111C96"/>
    <w:rsid w:val="3B1335CF"/>
    <w:rsid w:val="3B172116"/>
    <w:rsid w:val="3B181276"/>
    <w:rsid w:val="3B201ED9"/>
    <w:rsid w:val="3B20637D"/>
    <w:rsid w:val="3B2319C9"/>
    <w:rsid w:val="3B257525"/>
    <w:rsid w:val="3B295232"/>
    <w:rsid w:val="3B2A0FAA"/>
    <w:rsid w:val="3B2B6F3C"/>
    <w:rsid w:val="3B2D3B76"/>
    <w:rsid w:val="3B2F65C0"/>
    <w:rsid w:val="3B3300BB"/>
    <w:rsid w:val="3B3B6D13"/>
    <w:rsid w:val="3B3D2A8B"/>
    <w:rsid w:val="3B430A5C"/>
    <w:rsid w:val="3B443E1A"/>
    <w:rsid w:val="3B464036"/>
    <w:rsid w:val="3B530C77"/>
    <w:rsid w:val="3B553B47"/>
    <w:rsid w:val="3B5A7D4A"/>
    <w:rsid w:val="3B6049CB"/>
    <w:rsid w:val="3B626996"/>
    <w:rsid w:val="3B63115A"/>
    <w:rsid w:val="3B6444BC"/>
    <w:rsid w:val="3B691AD2"/>
    <w:rsid w:val="3B6F5B39"/>
    <w:rsid w:val="3B7159CE"/>
    <w:rsid w:val="3B7668F3"/>
    <w:rsid w:val="3B7C774B"/>
    <w:rsid w:val="3B890DC1"/>
    <w:rsid w:val="3B895CD0"/>
    <w:rsid w:val="3B8B1C35"/>
    <w:rsid w:val="3B8C3A12"/>
    <w:rsid w:val="3B8F3954"/>
    <w:rsid w:val="3B8F6E8B"/>
    <w:rsid w:val="3B987F28"/>
    <w:rsid w:val="3B9A612F"/>
    <w:rsid w:val="3BB24DE0"/>
    <w:rsid w:val="3BB32D4D"/>
    <w:rsid w:val="3BB37231"/>
    <w:rsid w:val="3BB865B6"/>
    <w:rsid w:val="3BB970C6"/>
    <w:rsid w:val="3BBC42F8"/>
    <w:rsid w:val="3BBC7AEB"/>
    <w:rsid w:val="3BC431AC"/>
    <w:rsid w:val="3BCC2061"/>
    <w:rsid w:val="3BCC3E0F"/>
    <w:rsid w:val="3BCD02B3"/>
    <w:rsid w:val="3BCF6E80"/>
    <w:rsid w:val="3BD31641"/>
    <w:rsid w:val="3BD72EE0"/>
    <w:rsid w:val="3BD80A06"/>
    <w:rsid w:val="3BE13D5E"/>
    <w:rsid w:val="3BE23632"/>
    <w:rsid w:val="3BE455FD"/>
    <w:rsid w:val="3BE462B6"/>
    <w:rsid w:val="3BF05D4F"/>
    <w:rsid w:val="3BF47BA6"/>
    <w:rsid w:val="3BF770DE"/>
    <w:rsid w:val="3BF84C04"/>
    <w:rsid w:val="3BFA097C"/>
    <w:rsid w:val="3BFC2946"/>
    <w:rsid w:val="3C033851"/>
    <w:rsid w:val="3C08263F"/>
    <w:rsid w:val="3C0D6901"/>
    <w:rsid w:val="3C123F18"/>
    <w:rsid w:val="3C157564"/>
    <w:rsid w:val="3C1C4D96"/>
    <w:rsid w:val="3C1F03E3"/>
    <w:rsid w:val="3C1F6635"/>
    <w:rsid w:val="3C277297"/>
    <w:rsid w:val="3C30439E"/>
    <w:rsid w:val="3C315AEE"/>
    <w:rsid w:val="3C3F61E9"/>
    <w:rsid w:val="3C485B8B"/>
    <w:rsid w:val="3C4F43DD"/>
    <w:rsid w:val="3C5207B8"/>
    <w:rsid w:val="3C5462DE"/>
    <w:rsid w:val="3C687FDC"/>
    <w:rsid w:val="3C77726B"/>
    <w:rsid w:val="3C830972"/>
    <w:rsid w:val="3C8342C9"/>
    <w:rsid w:val="3C860462"/>
    <w:rsid w:val="3C8B7826"/>
    <w:rsid w:val="3C904CF1"/>
    <w:rsid w:val="3C920BB5"/>
    <w:rsid w:val="3C9C1A33"/>
    <w:rsid w:val="3C9C5234"/>
    <w:rsid w:val="3CA07775"/>
    <w:rsid w:val="3CA32DC2"/>
    <w:rsid w:val="3CA370C0"/>
    <w:rsid w:val="3CA37266"/>
    <w:rsid w:val="3CA60B04"/>
    <w:rsid w:val="3CA852B3"/>
    <w:rsid w:val="3CA8662A"/>
    <w:rsid w:val="3CAA2299"/>
    <w:rsid w:val="3CAF5C0A"/>
    <w:rsid w:val="3CAF5E34"/>
    <w:rsid w:val="3CAF79B9"/>
    <w:rsid w:val="3CB274A9"/>
    <w:rsid w:val="3CB55D60"/>
    <w:rsid w:val="3CB609AC"/>
    <w:rsid w:val="3CB7325B"/>
    <w:rsid w:val="3CB801A8"/>
    <w:rsid w:val="3CBC48AB"/>
    <w:rsid w:val="3CC01BC6"/>
    <w:rsid w:val="3CC1149A"/>
    <w:rsid w:val="3CCA47F2"/>
    <w:rsid w:val="3CCB123F"/>
    <w:rsid w:val="3CD31F2C"/>
    <w:rsid w:val="3CDB69FF"/>
    <w:rsid w:val="3CDC62D4"/>
    <w:rsid w:val="3CDC77CD"/>
    <w:rsid w:val="3CDE3DFA"/>
    <w:rsid w:val="3CE07B72"/>
    <w:rsid w:val="3CE1610D"/>
    <w:rsid w:val="3CE37662"/>
    <w:rsid w:val="3CEA46C5"/>
    <w:rsid w:val="3CEF6E1F"/>
    <w:rsid w:val="3CF33D49"/>
    <w:rsid w:val="3CF61143"/>
    <w:rsid w:val="3CF679A3"/>
    <w:rsid w:val="3CF950D8"/>
    <w:rsid w:val="3CFD208E"/>
    <w:rsid w:val="3D037D04"/>
    <w:rsid w:val="3D073351"/>
    <w:rsid w:val="3D0A1093"/>
    <w:rsid w:val="3D0C4E0B"/>
    <w:rsid w:val="3D0C552C"/>
    <w:rsid w:val="3D135537"/>
    <w:rsid w:val="3D161D55"/>
    <w:rsid w:val="3D16531A"/>
    <w:rsid w:val="3D1964E2"/>
    <w:rsid w:val="3D1D0DC6"/>
    <w:rsid w:val="3D271C45"/>
    <w:rsid w:val="3D29776B"/>
    <w:rsid w:val="3D297E86"/>
    <w:rsid w:val="3D2C27A6"/>
    <w:rsid w:val="3D2D248F"/>
    <w:rsid w:val="3D2E4D81"/>
    <w:rsid w:val="3D324146"/>
    <w:rsid w:val="3D3305EA"/>
    <w:rsid w:val="3D355E3A"/>
    <w:rsid w:val="3D3847F5"/>
    <w:rsid w:val="3D445C28"/>
    <w:rsid w:val="3D483969"/>
    <w:rsid w:val="3D491BBB"/>
    <w:rsid w:val="3D582B25"/>
    <w:rsid w:val="3D5A3DC8"/>
    <w:rsid w:val="3D5B18EE"/>
    <w:rsid w:val="3D5B3695"/>
    <w:rsid w:val="3D5B544A"/>
    <w:rsid w:val="3D624D01"/>
    <w:rsid w:val="3D6A38DF"/>
    <w:rsid w:val="3D6C58AA"/>
    <w:rsid w:val="3D6D517E"/>
    <w:rsid w:val="3D6E1622"/>
    <w:rsid w:val="3D6E2847"/>
    <w:rsid w:val="3D766728"/>
    <w:rsid w:val="3D793B23"/>
    <w:rsid w:val="3D7D3613"/>
    <w:rsid w:val="3D7E6D0B"/>
    <w:rsid w:val="3D8255C6"/>
    <w:rsid w:val="3D840E45"/>
    <w:rsid w:val="3D862942"/>
    <w:rsid w:val="3D87623F"/>
    <w:rsid w:val="3D8B5883"/>
    <w:rsid w:val="3D915310"/>
    <w:rsid w:val="3D9A41C5"/>
    <w:rsid w:val="3D9F5C7F"/>
    <w:rsid w:val="3DA2751D"/>
    <w:rsid w:val="3DA34E77"/>
    <w:rsid w:val="3DA43295"/>
    <w:rsid w:val="3DA66102"/>
    <w:rsid w:val="3DB039E8"/>
    <w:rsid w:val="3DB17760"/>
    <w:rsid w:val="3DB33EBF"/>
    <w:rsid w:val="3DB35286"/>
    <w:rsid w:val="3DB73ABE"/>
    <w:rsid w:val="3DB80AEF"/>
    <w:rsid w:val="3DBC05DF"/>
    <w:rsid w:val="3DC656A4"/>
    <w:rsid w:val="3DC67992"/>
    <w:rsid w:val="3DC70D32"/>
    <w:rsid w:val="3DD0408A"/>
    <w:rsid w:val="3DD516A1"/>
    <w:rsid w:val="3DDC3E68"/>
    <w:rsid w:val="3DDE35D7"/>
    <w:rsid w:val="3DDF5D66"/>
    <w:rsid w:val="3DE418E4"/>
    <w:rsid w:val="3DEA67CE"/>
    <w:rsid w:val="3DF5589F"/>
    <w:rsid w:val="3DFA2EB5"/>
    <w:rsid w:val="3E014244"/>
    <w:rsid w:val="3E021D6A"/>
    <w:rsid w:val="3E0222B5"/>
    <w:rsid w:val="3E0279E9"/>
    <w:rsid w:val="3E033CA4"/>
    <w:rsid w:val="3E0A3EC6"/>
    <w:rsid w:val="3E0D0E3B"/>
    <w:rsid w:val="3E142A47"/>
    <w:rsid w:val="3E1B69BB"/>
    <w:rsid w:val="3E1C5C81"/>
    <w:rsid w:val="3E1D6BA4"/>
    <w:rsid w:val="3E23065E"/>
    <w:rsid w:val="3E2919ED"/>
    <w:rsid w:val="3E295549"/>
    <w:rsid w:val="3E2B4042"/>
    <w:rsid w:val="3E2E273B"/>
    <w:rsid w:val="3E332B10"/>
    <w:rsid w:val="3E350391"/>
    <w:rsid w:val="3E35213F"/>
    <w:rsid w:val="3E3645F7"/>
    <w:rsid w:val="3E3742CC"/>
    <w:rsid w:val="3E375EB7"/>
    <w:rsid w:val="3E383C0E"/>
    <w:rsid w:val="3E3C1720"/>
    <w:rsid w:val="3E3C527C"/>
    <w:rsid w:val="3E3F2FBE"/>
    <w:rsid w:val="3E4158C5"/>
    <w:rsid w:val="3E45486A"/>
    <w:rsid w:val="3E4568CA"/>
    <w:rsid w:val="3E463855"/>
    <w:rsid w:val="3E4C75C9"/>
    <w:rsid w:val="3E4E1F6A"/>
    <w:rsid w:val="3E4E671D"/>
    <w:rsid w:val="3E52720F"/>
    <w:rsid w:val="3E55633E"/>
    <w:rsid w:val="3E580D79"/>
    <w:rsid w:val="3E587BDC"/>
    <w:rsid w:val="3E5A7DF8"/>
    <w:rsid w:val="3E691DE9"/>
    <w:rsid w:val="3E694CD0"/>
    <w:rsid w:val="3E6B7E62"/>
    <w:rsid w:val="3E6C1A4E"/>
    <w:rsid w:val="3E703177"/>
    <w:rsid w:val="3E737D0A"/>
    <w:rsid w:val="3E74088F"/>
    <w:rsid w:val="3E754BB5"/>
    <w:rsid w:val="3E774506"/>
    <w:rsid w:val="3E7762B4"/>
    <w:rsid w:val="3E80785E"/>
    <w:rsid w:val="3E832EAB"/>
    <w:rsid w:val="3E880C65"/>
    <w:rsid w:val="3E8D1F7B"/>
    <w:rsid w:val="3E8E35FE"/>
    <w:rsid w:val="3E904CD6"/>
    <w:rsid w:val="3EA13299"/>
    <w:rsid w:val="3EA3354D"/>
    <w:rsid w:val="3EAD47D9"/>
    <w:rsid w:val="3EAF3CA0"/>
    <w:rsid w:val="3EB456FB"/>
    <w:rsid w:val="3EBE059F"/>
    <w:rsid w:val="3EC660F3"/>
    <w:rsid w:val="3EC97748"/>
    <w:rsid w:val="3ECC2AA4"/>
    <w:rsid w:val="3ECF4F15"/>
    <w:rsid w:val="3ECF63C6"/>
    <w:rsid w:val="3ECF7A1F"/>
    <w:rsid w:val="3ED21DC4"/>
    <w:rsid w:val="3ED36B9D"/>
    <w:rsid w:val="3ED963CC"/>
    <w:rsid w:val="3EE31B9B"/>
    <w:rsid w:val="3EE55913"/>
    <w:rsid w:val="3EE92A88"/>
    <w:rsid w:val="3EEA29DD"/>
    <w:rsid w:val="3EF062C0"/>
    <w:rsid w:val="3EF43DA9"/>
    <w:rsid w:val="3EF62C4A"/>
    <w:rsid w:val="3EFB5137"/>
    <w:rsid w:val="3EFE69D5"/>
    <w:rsid w:val="3F010273"/>
    <w:rsid w:val="3F0264C5"/>
    <w:rsid w:val="3F033FEC"/>
    <w:rsid w:val="3F054835"/>
    <w:rsid w:val="3F060794"/>
    <w:rsid w:val="3F06588A"/>
    <w:rsid w:val="3F0B6307"/>
    <w:rsid w:val="3F0F3364"/>
    <w:rsid w:val="3F1E7077"/>
    <w:rsid w:val="3F2006FA"/>
    <w:rsid w:val="3F20694C"/>
    <w:rsid w:val="3F2923DB"/>
    <w:rsid w:val="3F2F4DE1"/>
    <w:rsid w:val="3F2F6B8F"/>
    <w:rsid w:val="3F316DAB"/>
    <w:rsid w:val="3F424876"/>
    <w:rsid w:val="3F473E48"/>
    <w:rsid w:val="3F476287"/>
    <w:rsid w:val="3F52287D"/>
    <w:rsid w:val="3F561C5C"/>
    <w:rsid w:val="3F571ED0"/>
    <w:rsid w:val="3F577E93"/>
    <w:rsid w:val="3F5900B0"/>
    <w:rsid w:val="3F5B5BD6"/>
    <w:rsid w:val="3F5C54AA"/>
    <w:rsid w:val="3F6820A1"/>
    <w:rsid w:val="3F6A5E19"/>
    <w:rsid w:val="3F6C1B91"/>
    <w:rsid w:val="3F7171A7"/>
    <w:rsid w:val="3F732F1F"/>
    <w:rsid w:val="3F7346DD"/>
    <w:rsid w:val="3F7647BE"/>
    <w:rsid w:val="3F7E18C4"/>
    <w:rsid w:val="3F7E3672"/>
    <w:rsid w:val="3F7F7B16"/>
    <w:rsid w:val="3F800BA7"/>
    <w:rsid w:val="3F810AF0"/>
    <w:rsid w:val="3F8511D3"/>
    <w:rsid w:val="3F8769CB"/>
    <w:rsid w:val="3F8E7D59"/>
    <w:rsid w:val="3F9904AC"/>
    <w:rsid w:val="3F9B1DA2"/>
    <w:rsid w:val="3F9D61EE"/>
    <w:rsid w:val="3FAC4ACF"/>
    <w:rsid w:val="3FB11C9A"/>
    <w:rsid w:val="3FB84DD6"/>
    <w:rsid w:val="3FBD419A"/>
    <w:rsid w:val="3FC25C55"/>
    <w:rsid w:val="3FC4377B"/>
    <w:rsid w:val="3FC90D91"/>
    <w:rsid w:val="3FCB2D5B"/>
    <w:rsid w:val="3FD72D63"/>
    <w:rsid w:val="3FD86B49"/>
    <w:rsid w:val="3FDA2F9E"/>
    <w:rsid w:val="3FDD2A8F"/>
    <w:rsid w:val="3FE931E1"/>
    <w:rsid w:val="3FEA0D08"/>
    <w:rsid w:val="3FEB6F5A"/>
    <w:rsid w:val="3FEC4A80"/>
    <w:rsid w:val="3FEC69F0"/>
    <w:rsid w:val="3FEE25A6"/>
    <w:rsid w:val="3FF12096"/>
    <w:rsid w:val="3FF35E0E"/>
    <w:rsid w:val="3FF459B6"/>
    <w:rsid w:val="3FF81EC6"/>
    <w:rsid w:val="40011F17"/>
    <w:rsid w:val="4004001B"/>
    <w:rsid w:val="400718BA"/>
    <w:rsid w:val="40073668"/>
    <w:rsid w:val="40092A29"/>
    <w:rsid w:val="400B13AA"/>
    <w:rsid w:val="400B75FC"/>
    <w:rsid w:val="400D5048"/>
    <w:rsid w:val="401144E6"/>
    <w:rsid w:val="40161AFD"/>
    <w:rsid w:val="401E041B"/>
    <w:rsid w:val="4021297B"/>
    <w:rsid w:val="402C3298"/>
    <w:rsid w:val="40356B95"/>
    <w:rsid w:val="40387CC5"/>
    <w:rsid w:val="403F72A5"/>
    <w:rsid w:val="40460634"/>
    <w:rsid w:val="4050500F"/>
    <w:rsid w:val="40580367"/>
    <w:rsid w:val="40632F94"/>
    <w:rsid w:val="40646D0C"/>
    <w:rsid w:val="406805AA"/>
    <w:rsid w:val="406B3BF6"/>
    <w:rsid w:val="406C7597"/>
    <w:rsid w:val="40713094"/>
    <w:rsid w:val="40714F85"/>
    <w:rsid w:val="40774C91"/>
    <w:rsid w:val="407C22A8"/>
    <w:rsid w:val="40800E47"/>
    <w:rsid w:val="40844CB8"/>
    <w:rsid w:val="40867A88"/>
    <w:rsid w:val="409265EE"/>
    <w:rsid w:val="40952AB4"/>
    <w:rsid w:val="409C0254"/>
    <w:rsid w:val="409E58B0"/>
    <w:rsid w:val="409F1AF2"/>
    <w:rsid w:val="40A8600D"/>
    <w:rsid w:val="40AB0497"/>
    <w:rsid w:val="40AC55B2"/>
    <w:rsid w:val="40AE071E"/>
    <w:rsid w:val="40B03FC1"/>
    <w:rsid w:val="40BB3D04"/>
    <w:rsid w:val="40BC08F6"/>
    <w:rsid w:val="40BC1147"/>
    <w:rsid w:val="40C03437"/>
    <w:rsid w:val="40C41559"/>
    <w:rsid w:val="40C477AB"/>
    <w:rsid w:val="40C8729B"/>
    <w:rsid w:val="40CE4185"/>
    <w:rsid w:val="40D21EC7"/>
    <w:rsid w:val="40D27FB7"/>
    <w:rsid w:val="40D75730"/>
    <w:rsid w:val="40DA601F"/>
    <w:rsid w:val="40E045E4"/>
    <w:rsid w:val="40E340D5"/>
    <w:rsid w:val="40E57E4D"/>
    <w:rsid w:val="40ED5207"/>
    <w:rsid w:val="40EE65D6"/>
    <w:rsid w:val="40EF026F"/>
    <w:rsid w:val="40EF4827"/>
    <w:rsid w:val="40F167F2"/>
    <w:rsid w:val="40F97454"/>
    <w:rsid w:val="40FA31CC"/>
    <w:rsid w:val="4105404B"/>
    <w:rsid w:val="4109296D"/>
    <w:rsid w:val="410D4CAE"/>
    <w:rsid w:val="411053AE"/>
    <w:rsid w:val="41120516"/>
    <w:rsid w:val="41130FFA"/>
    <w:rsid w:val="411B386E"/>
    <w:rsid w:val="411D31D6"/>
    <w:rsid w:val="4124289F"/>
    <w:rsid w:val="412D35A2"/>
    <w:rsid w:val="412E0668"/>
    <w:rsid w:val="41314E40"/>
    <w:rsid w:val="4134048C"/>
    <w:rsid w:val="413955CA"/>
    <w:rsid w:val="413B5CBF"/>
    <w:rsid w:val="413E7159"/>
    <w:rsid w:val="41403A95"/>
    <w:rsid w:val="4142704D"/>
    <w:rsid w:val="41436921"/>
    <w:rsid w:val="41497192"/>
    <w:rsid w:val="414E1F46"/>
    <w:rsid w:val="4151103E"/>
    <w:rsid w:val="41516BEE"/>
    <w:rsid w:val="41524DB6"/>
    <w:rsid w:val="41596145"/>
    <w:rsid w:val="4162324B"/>
    <w:rsid w:val="41630D72"/>
    <w:rsid w:val="41635215"/>
    <w:rsid w:val="416E37F1"/>
    <w:rsid w:val="416F7716"/>
    <w:rsid w:val="417116E0"/>
    <w:rsid w:val="41717792"/>
    <w:rsid w:val="41730CBE"/>
    <w:rsid w:val="41735459"/>
    <w:rsid w:val="41764F49"/>
    <w:rsid w:val="417767BF"/>
    <w:rsid w:val="418074D3"/>
    <w:rsid w:val="41850CE8"/>
    <w:rsid w:val="41867C55"/>
    <w:rsid w:val="418A773C"/>
    <w:rsid w:val="418B33CA"/>
    <w:rsid w:val="418D5899"/>
    <w:rsid w:val="418F7DB9"/>
    <w:rsid w:val="41900008"/>
    <w:rsid w:val="419158DF"/>
    <w:rsid w:val="41984EBF"/>
    <w:rsid w:val="419B675D"/>
    <w:rsid w:val="419C7C83"/>
    <w:rsid w:val="419E624E"/>
    <w:rsid w:val="41A27AEC"/>
    <w:rsid w:val="41AA2E44"/>
    <w:rsid w:val="41AC0E4E"/>
    <w:rsid w:val="41AF6F18"/>
    <w:rsid w:val="41BD2B78"/>
    <w:rsid w:val="41C327F3"/>
    <w:rsid w:val="41C37A62"/>
    <w:rsid w:val="41C757A4"/>
    <w:rsid w:val="41C92567"/>
    <w:rsid w:val="41CA2B9F"/>
    <w:rsid w:val="41CC6917"/>
    <w:rsid w:val="41D57EC1"/>
    <w:rsid w:val="41E14187"/>
    <w:rsid w:val="41E2438C"/>
    <w:rsid w:val="41E83650"/>
    <w:rsid w:val="41EA4FEF"/>
    <w:rsid w:val="41F52311"/>
    <w:rsid w:val="41F8595E"/>
    <w:rsid w:val="41FF0A9A"/>
    <w:rsid w:val="42042555"/>
    <w:rsid w:val="420946BA"/>
    <w:rsid w:val="4209542F"/>
    <w:rsid w:val="420F2CA7"/>
    <w:rsid w:val="42166910"/>
    <w:rsid w:val="421D3616"/>
    <w:rsid w:val="421D53C4"/>
    <w:rsid w:val="42201101"/>
    <w:rsid w:val="42277FF1"/>
    <w:rsid w:val="422E14C8"/>
    <w:rsid w:val="42334BE8"/>
    <w:rsid w:val="423367EC"/>
    <w:rsid w:val="42341320"/>
    <w:rsid w:val="424010B3"/>
    <w:rsid w:val="42442951"/>
    <w:rsid w:val="42462B6D"/>
    <w:rsid w:val="424D6428"/>
    <w:rsid w:val="424E15EB"/>
    <w:rsid w:val="42587396"/>
    <w:rsid w:val="42590B65"/>
    <w:rsid w:val="425D52D0"/>
    <w:rsid w:val="425F778B"/>
    <w:rsid w:val="42610F23"/>
    <w:rsid w:val="42621029"/>
    <w:rsid w:val="426C1F66"/>
    <w:rsid w:val="4271167E"/>
    <w:rsid w:val="42735119"/>
    <w:rsid w:val="42764AD5"/>
    <w:rsid w:val="427B240C"/>
    <w:rsid w:val="427C5605"/>
    <w:rsid w:val="4283791D"/>
    <w:rsid w:val="428B152C"/>
    <w:rsid w:val="42903DE8"/>
    <w:rsid w:val="42975177"/>
    <w:rsid w:val="429A07C3"/>
    <w:rsid w:val="429D02B3"/>
    <w:rsid w:val="429F402B"/>
    <w:rsid w:val="42A33E70"/>
    <w:rsid w:val="42AB6E74"/>
    <w:rsid w:val="42B21FB1"/>
    <w:rsid w:val="42B60D1B"/>
    <w:rsid w:val="42B90936"/>
    <w:rsid w:val="42B91D72"/>
    <w:rsid w:val="42BC2E2F"/>
    <w:rsid w:val="42BC698B"/>
    <w:rsid w:val="42C13457"/>
    <w:rsid w:val="42CC20F2"/>
    <w:rsid w:val="42CF2F66"/>
    <w:rsid w:val="42D05148"/>
    <w:rsid w:val="42D33CD5"/>
    <w:rsid w:val="42E00BAC"/>
    <w:rsid w:val="42E44134"/>
    <w:rsid w:val="42EF6D61"/>
    <w:rsid w:val="42FB3958"/>
    <w:rsid w:val="42FD18E1"/>
    <w:rsid w:val="430918C9"/>
    <w:rsid w:val="430976F7"/>
    <w:rsid w:val="430C4D69"/>
    <w:rsid w:val="430D3EC1"/>
    <w:rsid w:val="43106CD7"/>
    <w:rsid w:val="431D278F"/>
    <w:rsid w:val="432225BF"/>
    <w:rsid w:val="43262904"/>
    <w:rsid w:val="432D2A89"/>
    <w:rsid w:val="43365E3D"/>
    <w:rsid w:val="43471D05"/>
    <w:rsid w:val="4353328F"/>
    <w:rsid w:val="43542913"/>
    <w:rsid w:val="4355293C"/>
    <w:rsid w:val="4356791A"/>
    <w:rsid w:val="435738BC"/>
    <w:rsid w:val="435B61A4"/>
    <w:rsid w:val="435C3CCA"/>
    <w:rsid w:val="436D5ED7"/>
    <w:rsid w:val="437159C8"/>
    <w:rsid w:val="4383394D"/>
    <w:rsid w:val="43847123"/>
    <w:rsid w:val="43853221"/>
    <w:rsid w:val="43973713"/>
    <w:rsid w:val="43994F1E"/>
    <w:rsid w:val="43996CCD"/>
    <w:rsid w:val="43A044FF"/>
    <w:rsid w:val="43A551C4"/>
    <w:rsid w:val="43A833B4"/>
    <w:rsid w:val="43AB3EA3"/>
    <w:rsid w:val="43AB40C5"/>
    <w:rsid w:val="43AF4742"/>
    <w:rsid w:val="43B27D8E"/>
    <w:rsid w:val="43B333B6"/>
    <w:rsid w:val="43B43B06"/>
    <w:rsid w:val="43B6548F"/>
    <w:rsid w:val="43B753A5"/>
    <w:rsid w:val="43B81849"/>
    <w:rsid w:val="43C30037"/>
    <w:rsid w:val="43C4525A"/>
    <w:rsid w:val="43C71A8C"/>
    <w:rsid w:val="43CA332A"/>
    <w:rsid w:val="43CF6B92"/>
    <w:rsid w:val="43D250A9"/>
    <w:rsid w:val="43D42ACB"/>
    <w:rsid w:val="43DA5C97"/>
    <w:rsid w:val="43DD46A6"/>
    <w:rsid w:val="43DE2931"/>
    <w:rsid w:val="43E22422"/>
    <w:rsid w:val="43E44844"/>
    <w:rsid w:val="43EA5687"/>
    <w:rsid w:val="43EF1957"/>
    <w:rsid w:val="43F14D5A"/>
    <w:rsid w:val="43F32881"/>
    <w:rsid w:val="43F42155"/>
    <w:rsid w:val="43F9776B"/>
    <w:rsid w:val="44022AC4"/>
    <w:rsid w:val="4404683C"/>
    <w:rsid w:val="44081A76"/>
    <w:rsid w:val="4409352C"/>
    <w:rsid w:val="44093E52"/>
    <w:rsid w:val="440C2CE3"/>
    <w:rsid w:val="44103433"/>
    <w:rsid w:val="44110F59"/>
    <w:rsid w:val="441A506E"/>
    <w:rsid w:val="44222C5F"/>
    <w:rsid w:val="442567B2"/>
    <w:rsid w:val="442962A2"/>
    <w:rsid w:val="442D47B8"/>
    <w:rsid w:val="44305883"/>
    <w:rsid w:val="44354DE8"/>
    <w:rsid w:val="44362DE4"/>
    <w:rsid w:val="44384737"/>
    <w:rsid w:val="44393B5D"/>
    <w:rsid w:val="443B5FD6"/>
    <w:rsid w:val="44475816"/>
    <w:rsid w:val="444A4EF7"/>
    <w:rsid w:val="444E5D09"/>
    <w:rsid w:val="44522184"/>
    <w:rsid w:val="44526895"/>
    <w:rsid w:val="44562E10"/>
    <w:rsid w:val="445D7CFA"/>
    <w:rsid w:val="445F68CE"/>
    <w:rsid w:val="446077EA"/>
    <w:rsid w:val="44652FAD"/>
    <w:rsid w:val="446E4940"/>
    <w:rsid w:val="44732EF1"/>
    <w:rsid w:val="4476700E"/>
    <w:rsid w:val="44774071"/>
    <w:rsid w:val="44802E0B"/>
    <w:rsid w:val="44815A5A"/>
    <w:rsid w:val="448336FF"/>
    <w:rsid w:val="44867251"/>
    <w:rsid w:val="448E25A9"/>
    <w:rsid w:val="44906321"/>
    <w:rsid w:val="44915BF6"/>
    <w:rsid w:val="44944B08"/>
    <w:rsid w:val="449556E6"/>
    <w:rsid w:val="449753BF"/>
    <w:rsid w:val="44A1408B"/>
    <w:rsid w:val="44A65B45"/>
    <w:rsid w:val="44AF6F53"/>
    <w:rsid w:val="44B1622C"/>
    <w:rsid w:val="44B66788"/>
    <w:rsid w:val="44B76A8F"/>
    <w:rsid w:val="44C46D4D"/>
    <w:rsid w:val="44C47D79"/>
    <w:rsid w:val="44C73109"/>
    <w:rsid w:val="44CD4E80"/>
    <w:rsid w:val="44D22496"/>
    <w:rsid w:val="44D83825"/>
    <w:rsid w:val="44EF7E95"/>
    <w:rsid w:val="44F05864"/>
    <w:rsid w:val="44F2509D"/>
    <w:rsid w:val="44F7014F"/>
    <w:rsid w:val="44F92119"/>
    <w:rsid w:val="44FC39B7"/>
    <w:rsid w:val="44FF34A7"/>
    <w:rsid w:val="4502044C"/>
    <w:rsid w:val="45085EB8"/>
    <w:rsid w:val="450B3BFA"/>
    <w:rsid w:val="450F7FFF"/>
    <w:rsid w:val="4515012D"/>
    <w:rsid w:val="451C1963"/>
    <w:rsid w:val="4521341D"/>
    <w:rsid w:val="45230F44"/>
    <w:rsid w:val="45306005"/>
    <w:rsid w:val="4530624E"/>
    <w:rsid w:val="453077B3"/>
    <w:rsid w:val="45343151"/>
    <w:rsid w:val="45344EFF"/>
    <w:rsid w:val="453C3DB3"/>
    <w:rsid w:val="454315E6"/>
    <w:rsid w:val="45435142"/>
    <w:rsid w:val="45482772"/>
    <w:rsid w:val="454841A1"/>
    <w:rsid w:val="454A4722"/>
    <w:rsid w:val="455E3C6C"/>
    <w:rsid w:val="45667082"/>
    <w:rsid w:val="4568104C"/>
    <w:rsid w:val="45690320"/>
    <w:rsid w:val="456D21BF"/>
    <w:rsid w:val="456D77E1"/>
    <w:rsid w:val="45723C79"/>
    <w:rsid w:val="4574179F"/>
    <w:rsid w:val="45767E0E"/>
    <w:rsid w:val="457B7E82"/>
    <w:rsid w:val="457F2ACD"/>
    <w:rsid w:val="45830F57"/>
    <w:rsid w:val="4584481B"/>
    <w:rsid w:val="458A4B1F"/>
    <w:rsid w:val="458C4D3B"/>
    <w:rsid w:val="458F3906"/>
    <w:rsid w:val="45927E77"/>
    <w:rsid w:val="45965BB9"/>
    <w:rsid w:val="459C2AA4"/>
    <w:rsid w:val="459E4A6E"/>
    <w:rsid w:val="45AC718B"/>
    <w:rsid w:val="45B13C90"/>
    <w:rsid w:val="45B15237"/>
    <w:rsid w:val="45B35974"/>
    <w:rsid w:val="45BC4EF4"/>
    <w:rsid w:val="45BC5399"/>
    <w:rsid w:val="45BC5999"/>
    <w:rsid w:val="45C2075D"/>
    <w:rsid w:val="45CC5137"/>
    <w:rsid w:val="45D02DE7"/>
    <w:rsid w:val="45D109A0"/>
    <w:rsid w:val="45D40490"/>
    <w:rsid w:val="45DE2391"/>
    <w:rsid w:val="45E83F3B"/>
    <w:rsid w:val="45F20916"/>
    <w:rsid w:val="45F560D2"/>
    <w:rsid w:val="45F91D6E"/>
    <w:rsid w:val="45FA3812"/>
    <w:rsid w:val="45FE6402"/>
    <w:rsid w:val="45FE72BB"/>
    <w:rsid w:val="46001285"/>
    <w:rsid w:val="46050649"/>
    <w:rsid w:val="46054AED"/>
    <w:rsid w:val="46080139"/>
    <w:rsid w:val="460A3EB2"/>
    <w:rsid w:val="460C19D8"/>
    <w:rsid w:val="460F3276"/>
    <w:rsid w:val="461940F5"/>
    <w:rsid w:val="461E39CB"/>
    <w:rsid w:val="462168D6"/>
    <w:rsid w:val="462B6A0F"/>
    <w:rsid w:val="462C207A"/>
    <w:rsid w:val="462E7BA0"/>
    <w:rsid w:val="46350429"/>
    <w:rsid w:val="46370A82"/>
    <w:rsid w:val="463F1DAD"/>
    <w:rsid w:val="464253F9"/>
    <w:rsid w:val="46480542"/>
    <w:rsid w:val="46485453"/>
    <w:rsid w:val="46492914"/>
    <w:rsid w:val="46494E1C"/>
    <w:rsid w:val="465211ED"/>
    <w:rsid w:val="465E4ECA"/>
    <w:rsid w:val="46601D24"/>
    <w:rsid w:val="466C6AC4"/>
    <w:rsid w:val="46733805"/>
    <w:rsid w:val="46780E1B"/>
    <w:rsid w:val="467B090B"/>
    <w:rsid w:val="467B5120"/>
    <w:rsid w:val="467D28D5"/>
    <w:rsid w:val="46804174"/>
    <w:rsid w:val="468477C0"/>
    <w:rsid w:val="4685178A"/>
    <w:rsid w:val="468F72AD"/>
    <w:rsid w:val="46971BE9"/>
    <w:rsid w:val="46983DB1"/>
    <w:rsid w:val="4698770F"/>
    <w:rsid w:val="46A34C24"/>
    <w:rsid w:val="46A47E62"/>
    <w:rsid w:val="46A613B3"/>
    <w:rsid w:val="46AB0E55"/>
    <w:rsid w:val="46AB7B96"/>
    <w:rsid w:val="46B04A59"/>
    <w:rsid w:val="46B06446"/>
    <w:rsid w:val="46B23BBB"/>
    <w:rsid w:val="46B75DE7"/>
    <w:rsid w:val="46B8390E"/>
    <w:rsid w:val="46BB51AC"/>
    <w:rsid w:val="46C146D6"/>
    <w:rsid w:val="46CD560B"/>
    <w:rsid w:val="46D30747"/>
    <w:rsid w:val="46D63D94"/>
    <w:rsid w:val="46DB1BAA"/>
    <w:rsid w:val="46DD22F1"/>
    <w:rsid w:val="46E34004"/>
    <w:rsid w:val="46E94BDF"/>
    <w:rsid w:val="46EB783F"/>
    <w:rsid w:val="46F04E55"/>
    <w:rsid w:val="46F21E2E"/>
    <w:rsid w:val="46FC1A4C"/>
    <w:rsid w:val="470A69DC"/>
    <w:rsid w:val="4711754F"/>
    <w:rsid w:val="47126281"/>
    <w:rsid w:val="471274C2"/>
    <w:rsid w:val="4714323A"/>
    <w:rsid w:val="47170B35"/>
    <w:rsid w:val="47220CFA"/>
    <w:rsid w:val="472B2331"/>
    <w:rsid w:val="4732208F"/>
    <w:rsid w:val="47354F5E"/>
    <w:rsid w:val="47364A7E"/>
    <w:rsid w:val="473A3969"/>
    <w:rsid w:val="473F7B8B"/>
    <w:rsid w:val="474829CF"/>
    <w:rsid w:val="474D5F87"/>
    <w:rsid w:val="47503B46"/>
    <w:rsid w:val="4752533F"/>
    <w:rsid w:val="47613FA5"/>
    <w:rsid w:val="47655843"/>
    <w:rsid w:val="47685334"/>
    <w:rsid w:val="47694F7E"/>
    <w:rsid w:val="476D5991"/>
    <w:rsid w:val="476F0F95"/>
    <w:rsid w:val="47723ABC"/>
    <w:rsid w:val="47772CDC"/>
    <w:rsid w:val="47777325"/>
    <w:rsid w:val="47797541"/>
    <w:rsid w:val="477A6E15"/>
    <w:rsid w:val="47822F4D"/>
    <w:rsid w:val="47881532"/>
    <w:rsid w:val="478D6B48"/>
    <w:rsid w:val="478E5E7C"/>
    <w:rsid w:val="47905CBF"/>
    <w:rsid w:val="4799373F"/>
    <w:rsid w:val="47A10846"/>
    <w:rsid w:val="47A45C40"/>
    <w:rsid w:val="47AC1029"/>
    <w:rsid w:val="47B10A89"/>
    <w:rsid w:val="47B124DA"/>
    <w:rsid w:val="47B70B98"/>
    <w:rsid w:val="47B95736"/>
    <w:rsid w:val="47B95B8F"/>
    <w:rsid w:val="47C00CCC"/>
    <w:rsid w:val="47CA7D9C"/>
    <w:rsid w:val="47D14C87"/>
    <w:rsid w:val="47D6229D"/>
    <w:rsid w:val="47D624AB"/>
    <w:rsid w:val="47D77DC3"/>
    <w:rsid w:val="47D90180"/>
    <w:rsid w:val="47DE5C16"/>
    <w:rsid w:val="47E310A1"/>
    <w:rsid w:val="47E50732"/>
    <w:rsid w:val="47ED3A8B"/>
    <w:rsid w:val="47F21AB5"/>
    <w:rsid w:val="48050DD4"/>
    <w:rsid w:val="48074968"/>
    <w:rsid w:val="480768FB"/>
    <w:rsid w:val="48080ED3"/>
    <w:rsid w:val="480C5CBF"/>
    <w:rsid w:val="480D3D8E"/>
    <w:rsid w:val="480F3A01"/>
    <w:rsid w:val="480F755D"/>
    <w:rsid w:val="481A560A"/>
    <w:rsid w:val="481D051D"/>
    <w:rsid w:val="482022CB"/>
    <w:rsid w:val="48221AD4"/>
    <w:rsid w:val="482F5ED6"/>
    <w:rsid w:val="48314491"/>
    <w:rsid w:val="48345216"/>
    <w:rsid w:val="48362D3C"/>
    <w:rsid w:val="483D3F5A"/>
    <w:rsid w:val="48435459"/>
    <w:rsid w:val="484E4529"/>
    <w:rsid w:val="484F3DFE"/>
    <w:rsid w:val="484F4565"/>
    <w:rsid w:val="485609D2"/>
    <w:rsid w:val="485667D0"/>
    <w:rsid w:val="48594C7C"/>
    <w:rsid w:val="485A4756"/>
    <w:rsid w:val="485D651B"/>
    <w:rsid w:val="486024AF"/>
    <w:rsid w:val="48623B31"/>
    <w:rsid w:val="48645AFB"/>
    <w:rsid w:val="48657363"/>
    <w:rsid w:val="48657927"/>
    <w:rsid w:val="486F6E03"/>
    <w:rsid w:val="4870324A"/>
    <w:rsid w:val="48710AEC"/>
    <w:rsid w:val="487178CD"/>
    <w:rsid w:val="48743864"/>
    <w:rsid w:val="48895D17"/>
    <w:rsid w:val="48931F3C"/>
    <w:rsid w:val="489839F7"/>
    <w:rsid w:val="489857A5"/>
    <w:rsid w:val="489A151D"/>
    <w:rsid w:val="489A776F"/>
    <w:rsid w:val="489B34E7"/>
    <w:rsid w:val="489B7043"/>
    <w:rsid w:val="489E012A"/>
    <w:rsid w:val="48A203D1"/>
    <w:rsid w:val="48AB1420"/>
    <w:rsid w:val="48AB372A"/>
    <w:rsid w:val="48B545A9"/>
    <w:rsid w:val="48BB1493"/>
    <w:rsid w:val="48C26CC5"/>
    <w:rsid w:val="48CB7640"/>
    <w:rsid w:val="48CE7BCB"/>
    <w:rsid w:val="48D20105"/>
    <w:rsid w:val="48D52555"/>
    <w:rsid w:val="48D565E4"/>
    <w:rsid w:val="48D662CD"/>
    <w:rsid w:val="48D9635F"/>
    <w:rsid w:val="48DB1B35"/>
    <w:rsid w:val="48DB38E3"/>
    <w:rsid w:val="48E22EC4"/>
    <w:rsid w:val="48E629B4"/>
    <w:rsid w:val="48EB4A00"/>
    <w:rsid w:val="48F0738F"/>
    <w:rsid w:val="48F23F76"/>
    <w:rsid w:val="48F93E4A"/>
    <w:rsid w:val="48FD385A"/>
    <w:rsid w:val="4902635C"/>
    <w:rsid w:val="4904108C"/>
    <w:rsid w:val="490963CD"/>
    <w:rsid w:val="490C1CEF"/>
    <w:rsid w:val="490E73B0"/>
    <w:rsid w:val="4910095B"/>
    <w:rsid w:val="49115557"/>
    <w:rsid w:val="49166762"/>
    <w:rsid w:val="491F1A22"/>
    <w:rsid w:val="49211C3E"/>
    <w:rsid w:val="492434DC"/>
    <w:rsid w:val="49246F86"/>
    <w:rsid w:val="4926535F"/>
    <w:rsid w:val="492D236F"/>
    <w:rsid w:val="492E6109"/>
    <w:rsid w:val="49325BF9"/>
    <w:rsid w:val="49331F2A"/>
    <w:rsid w:val="493C0826"/>
    <w:rsid w:val="494616A5"/>
    <w:rsid w:val="49481C62"/>
    <w:rsid w:val="49491594"/>
    <w:rsid w:val="494E2307"/>
    <w:rsid w:val="49556169"/>
    <w:rsid w:val="49590E2F"/>
    <w:rsid w:val="495A6EFE"/>
    <w:rsid w:val="495F4514"/>
    <w:rsid w:val="49663AF5"/>
    <w:rsid w:val="4966471F"/>
    <w:rsid w:val="496870B2"/>
    <w:rsid w:val="496E6505"/>
    <w:rsid w:val="496F29A9"/>
    <w:rsid w:val="497004D0"/>
    <w:rsid w:val="49766EA1"/>
    <w:rsid w:val="497D39E2"/>
    <w:rsid w:val="49845188"/>
    <w:rsid w:val="4985515D"/>
    <w:rsid w:val="498B70B7"/>
    <w:rsid w:val="49982301"/>
    <w:rsid w:val="499A1EF3"/>
    <w:rsid w:val="499C7517"/>
    <w:rsid w:val="49A15789"/>
    <w:rsid w:val="49A404F1"/>
    <w:rsid w:val="49A7061B"/>
    <w:rsid w:val="49A81264"/>
    <w:rsid w:val="49A877D0"/>
    <w:rsid w:val="49AB1508"/>
    <w:rsid w:val="49AF549B"/>
    <w:rsid w:val="49B04D70"/>
    <w:rsid w:val="49B24DC8"/>
    <w:rsid w:val="49BC7F3E"/>
    <w:rsid w:val="49C5081B"/>
    <w:rsid w:val="49CA7BE0"/>
    <w:rsid w:val="49D50857"/>
    <w:rsid w:val="49D77F46"/>
    <w:rsid w:val="49D96075"/>
    <w:rsid w:val="49DB1DED"/>
    <w:rsid w:val="49DC5B65"/>
    <w:rsid w:val="49DE7B2F"/>
    <w:rsid w:val="49E1317B"/>
    <w:rsid w:val="49EA2030"/>
    <w:rsid w:val="49EF3E9A"/>
    <w:rsid w:val="49F92273"/>
    <w:rsid w:val="49FA7D58"/>
    <w:rsid w:val="49FC1D63"/>
    <w:rsid w:val="4A064990"/>
    <w:rsid w:val="4A0708B1"/>
    <w:rsid w:val="4A080708"/>
    <w:rsid w:val="4A100FFA"/>
    <w:rsid w:val="4A143551"/>
    <w:rsid w:val="4A195EB5"/>
    <w:rsid w:val="4A2117CA"/>
    <w:rsid w:val="4A253068"/>
    <w:rsid w:val="4A2B43F6"/>
    <w:rsid w:val="4A2D7AF8"/>
    <w:rsid w:val="4A315EB1"/>
    <w:rsid w:val="4A3E412A"/>
    <w:rsid w:val="4A431740"/>
    <w:rsid w:val="4A4F6589"/>
    <w:rsid w:val="4A525D1C"/>
    <w:rsid w:val="4A533026"/>
    <w:rsid w:val="4A596C75"/>
    <w:rsid w:val="4A5971B6"/>
    <w:rsid w:val="4A5E2A1E"/>
    <w:rsid w:val="4A6470C4"/>
    <w:rsid w:val="4A6D4A0F"/>
    <w:rsid w:val="4A70041E"/>
    <w:rsid w:val="4A742241"/>
    <w:rsid w:val="4A7427CE"/>
    <w:rsid w:val="4A745D9D"/>
    <w:rsid w:val="4A7A7858"/>
    <w:rsid w:val="4A7D347C"/>
    <w:rsid w:val="4A7D4C52"/>
    <w:rsid w:val="4A857FAB"/>
    <w:rsid w:val="4A881849"/>
    <w:rsid w:val="4A915947"/>
    <w:rsid w:val="4A993A56"/>
    <w:rsid w:val="4AA246B9"/>
    <w:rsid w:val="4AA6082B"/>
    <w:rsid w:val="4AAA4E13"/>
    <w:rsid w:val="4AAE12AF"/>
    <w:rsid w:val="4AB03279"/>
    <w:rsid w:val="4AB50890"/>
    <w:rsid w:val="4ABB1C1E"/>
    <w:rsid w:val="4ABB577A"/>
    <w:rsid w:val="4AC00FE3"/>
    <w:rsid w:val="4AC05487"/>
    <w:rsid w:val="4ACF1226"/>
    <w:rsid w:val="4AD11442"/>
    <w:rsid w:val="4AD168DE"/>
    <w:rsid w:val="4AD30D16"/>
    <w:rsid w:val="4AD60806"/>
    <w:rsid w:val="4AD8457E"/>
    <w:rsid w:val="4AEB42B2"/>
    <w:rsid w:val="4AEE3DA2"/>
    <w:rsid w:val="4AEE78FE"/>
    <w:rsid w:val="4AF60EA8"/>
    <w:rsid w:val="4AF64492"/>
    <w:rsid w:val="4AFA44F5"/>
    <w:rsid w:val="4AFC5BC7"/>
    <w:rsid w:val="4B0B1F4A"/>
    <w:rsid w:val="4B133808"/>
    <w:rsid w:val="4B136457"/>
    <w:rsid w:val="4B16716D"/>
    <w:rsid w:val="4B1F03FF"/>
    <w:rsid w:val="4B1F3056"/>
    <w:rsid w:val="4B1F3F5B"/>
    <w:rsid w:val="4B202CE0"/>
    <w:rsid w:val="4B2A1534"/>
    <w:rsid w:val="4B2C48CA"/>
    <w:rsid w:val="4B2C6678"/>
    <w:rsid w:val="4B2E0642"/>
    <w:rsid w:val="4B3774F7"/>
    <w:rsid w:val="4B386DCB"/>
    <w:rsid w:val="4B3A0D95"/>
    <w:rsid w:val="4B3F12D4"/>
    <w:rsid w:val="4B4614E8"/>
    <w:rsid w:val="4B46598C"/>
    <w:rsid w:val="4B4C6A76"/>
    <w:rsid w:val="4B4E1E6E"/>
    <w:rsid w:val="4B4F1A53"/>
    <w:rsid w:val="4B57362B"/>
    <w:rsid w:val="4B5736F5"/>
    <w:rsid w:val="4B5A4F93"/>
    <w:rsid w:val="4B5C0D0B"/>
    <w:rsid w:val="4B5E0F27"/>
    <w:rsid w:val="4B5F07FC"/>
    <w:rsid w:val="4B6202EC"/>
    <w:rsid w:val="4B6422B6"/>
    <w:rsid w:val="4B6834E6"/>
    <w:rsid w:val="4B6978CC"/>
    <w:rsid w:val="4B6F3CB1"/>
    <w:rsid w:val="4B702A09"/>
    <w:rsid w:val="4B726781"/>
    <w:rsid w:val="4B78366B"/>
    <w:rsid w:val="4B7B56C4"/>
    <w:rsid w:val="4B7F0E9E"/>
    <w:rsid w:val="4B83273C"/>
    <w:rsid w:val="4B86222C"/>
    <w:rsid w:val="4B897627"/>
    <w:rsid w:val="4B8D35BB"/>
    <w:rsid w:val="4B927AC7"/>
    <w:rsid w:val="4B9A5CD8"/>
    <w:rsid w:val="4B9D30D2"/>
    <w:rsid w:val="4BA34B8C"/>
    <w:rsid w:val="4BA821A3"/>
    <w:rsid w:val="4BAD1567"/>
    <w:rsid w:val="4BB050FB"/>
    <w:rsid w:val="4BB31B6E"/>
    <w:rsid w:val="4BB548C0"/>
    <w:rsid w:val="4BBA1ED6"/>
    <w:rsid w:val="4BBC17AA"/>
    <w:rsid w:val="4BBE70D8"/>
    <w:rsid w:val="4BC279EC"/>
    <w:rsid w:val="4BC51B2E"/>
    <w:rsid w:val="4BC845F3"/>
    <w:rsid w:val="4BD2063D"/>
    <w:rsid w:val="4BD75568"/>
    <w:rsid w:val="4BDA71CC"/>
    <w:rsid w:val="4BE1535A"/>
    <w:rsid w:val="4BE15F06"/>
    <w:rsid w:val="4BE53E4C"/>
    <w:rsid w:val="4BE54561"/>
    <w:rsid w:val="4BE85591"/>
    <w:rsid w:val="4BEB02E1"/>
    <w:rsid w:val="4BED22AB"/>
    <w:rsid w:val="4BF011C3"/>
    <w:rsid w:val="4BF03B4A"/>
    <w:rsid w:val="4BF2341E"/>
    <w:rsid w:val="4BF74371"/>
    <w:rsid w:val="4C0A12EF"/>
    <w:rsid w:val="4C0D0258"/>
    <w:rsid w:val="4C0E1C64"/>
    <w:rsid w:val="4C107D48"/>
    <w:rsid w:val="4C166E79"/>
    <w:rsid w:val="4C1710D6"/>
    <w:rsid w:val="4C1B0BC7"/>
    <w:rsid w:val="4C1C493F"/>
    <w:rsid w:val="4C20442F"/>
    <w:rsid w:val="4C231893"/>
    <w:rsid w:val="4C2C4B82"/>
    <w:rsid w:val="4C2E3272"/>
    <w:rsid w:val="4C2F01CE"/>
    <w:rsid w:val="4C310EB0"/>
    <w:rsid w:val="4C324162"/>
    <w:rsid w:val="4C33502F"/>
    <w:rsid w:val="4C343A36"/>
    <w:rsid w:val="4C35316B"/>
    <w:rsid w:val="4C3677AE"/>
    <w:rsid w:val="4C404189"/>
    <w:rsid w:val="4C4243A5"/>
    <w:rsid w:val="4C431ECB"/>
    <w:rsid w:val="4C460604"/>
    <w:rsid w:val="4C4719BC"/>
    <w:rsid w:val="4C481290"/>
    <w:rsid w:val="4C4A14AC"/>
    <w:rsid w:val="4C516396"/>
    <w:rsid w:val="4C575977"/>
    <w:rsid w:val="4C5B7215"/>
    <w:rsid w:val="4C5B77AA"/>
    <w:rsid w:val="4C702FC4"/>
    <w:rsid w:val="4C72455F"/>
    <w:rsid w:val="4C726ACF"/>
    <w:rsid w:val="4C74753D"/>
    <w:rsid w:val="4C787DC7"/>
    <w:rsid w:val="4C7A3B09"/>
    <w:rsid w:val="4C885B30"/>
    <w:rsid w:val="4C8C5620"/>
    <w:rsid w:val="4C8D1398"/>
    <w:rsid w:val="4C942727"/>
    <w:rsid w:val="4C945446"/>
    <w:rsid w:val="4C975D73"/>
    <w:rsid w:val="4C9E0F1C"/>
    <w:rsid w:val="4CAA1F4A"/>
    <w:rsid w:val="4CC001C6"/>
    <w:rsid w:val="4CD945DE"/>
    <w:rsid w:val="4CDC3A84"/>
    <w:rsid w:val="4CDE39A2"/>
    <w:rsid w:val="4CE0596C"/>
    <w:rsid w:val="4CEB7035"/>
    <w:rsid w:val="4CF3569F"/>
    <w:rsid w:val="4CFA74AF"/>
    <w:rsid w:val="4CFB4554"/>
    <w:rsid w:val="4CFC11D3"/>
    <w:rsid w:val="4CFF4044"/>
    <w:rsid w:val="4CFF4CB6"/>
    <w:rsid w:val="4D07739D"/>
    <w:rsid w:val="4D113D78"/>
    <w:rsid w:val="4D1464A0"/>
    <w:rsid w:val="4D1675E0"/>
    <w:rsid w:val="4D176E22"/>
    <w:rsid w:val="4D1E6D46"/>
    <w:rsid w:val="4D1F46E6"/>
    <w:rsid w:val="4D203FBB"/>
    <w:rsid w:val="4D225F85"/>
    <w:rsid w:val="4D241CFD"/>
    <w:rsid w:val="4D297313"/>
    <w:rsid w:val="4D2C0BB1"/>
    <w:rsid w:val="4D2E33A1"/>
    <w:rsid w:val="4D30523F"/>
    <w:rsid w:val="4D31441A"/>
    <w:rsid w:val="4D331F40"/>
    <w:rsid w:val="4D333CEE"/>
    <w:rsid w:val="4D3D6A7C"/>
    <w:rsid w:val="4D40640B"/>
    <w:rsid w:val="4D44414D"/>
    <w:rsid w:val="4D4B7289"/>
    <w:rsid w:val="4D4F00D9"/>
    <w:rsid w:val="4D547286"/>
    <w:rsid w:val="4D5A571F"/>
    <w:rsid w:val="4D73058E"/>
    <w:rsid w:val="4D7607DC"/>
    <w:rsid w:val="4D785BA5"/>
    <w:rsid w:val="4D7B7443"/>
    <w:rsid w:val="4D800832"/>
    <w:rsid w:val="4D810E38"/>
    <w:rsid w:val="4D8C33FE"/>
    <w:rsid w:val="4D930C30"/>
    <w:rsid w:val="4D98087B"/>
    <w:rsid w:val="4DA370C6"/>
    <w:rsid w:val="4DAD0732"/>
    <w:rsid w:val="4DAE15C6"/>
    <w:rsid w:val="4DB34E2F"/>
    <w:rsid w:val="4DB647E6"/>
    <w:rsid w:val="4DB7491F"/>
    <w:rsid w:val="4DBC3CE3"/>
    <w:rsid w:val="4DBE165B"/>
    <w:rsid w:val="4DBF37D4"/>
    <w:rsid w:val="4DC31516"/>
    <w:rsid w:val="4DC82688"/>
    <w:rsid w:val="4DCA4639"/>
    <w:rsid w:val="4DCB6CBE"/>
    <w:rsid w:val="4DD52FF7"/>
    <w:rsid w:val="4DDA23BB"/>
    <w:rsid w:val="4DE4323A"/>
    <w:rsid w:val="4DE84AD8"/>
    <w:rsid w:val="4DE90850"/>
    <w:rsid w:val="4DED20EF"/>
    <w:rsid w:val="4DFA0CB0"/>
    <w:rsid w:val="4DFA2A5E"/>
    <w:rsid w:val="4E017E3F"/>
    <w:rsid w:val="4E035954"/>
    <w:rsid w:val="4E035DB6"/>
    <w:rsid w:val="4E0A3812"/>
    <w:rsid w:val="4E0B3255"/>
    <w:rsid w:val="4E0D67C5"/>
    <w:rsid w:val="4E1F24C4"/>
    <w:rsid w:val="4E241889"/>
    <w:rsid w:val="4E2B2C17"/>
    <w:rsid w:val="4E322703"/>
    <w:rsid w:val="4E347D1E"/>
    <w:rsid w:val="4E3B72FE"/>
    <w:rsid w:val="4E437F61"/>
    <w:rsid w:val="4E496A3E"/>
    <w:rsid w:val="4E4D0DDF"/>
    <w:rsid w:val="4E537B8C"/>
    <w:rsid w:val="4E546612"/>
    <w:rsid w:val="4E605060"/>
    <w:rsid w:val="4E6323B1"/>
    <w:rsid w:val="4E661EA1"/>
    <w:rsid w:val="4E685C19"/>
    <w:rsid w:val="4E6C395B"/>
    <w:rsid w:val="4E6D1482"/>
    <w:rsid w:val="4E7209A2"/>
    <w:rsid w:val="4E724CEA"/>
    <w:rsid w:val="4E740A62"/>
    <w:rsid w:val="4E7F5964"/>
    <w:rsid w:val="4E8B1908"/>
    <w:rsid w:val="4E8D5680"/>
    <w:rsid w:val="4E8F13F8"/>
    <w:rsid w:val="4E916F1E"/>
    <w:rsid w:val="4E942CDC"/>
    <w:rsid w:val="4E962786"/>
    <w:rsid w:val="4E9904C8"/>
    <w:rsid w:val="4E9B1B4B"/>
    <w:rsid w:val="4EA01857"/>
    <w:rsid w:val="4EA56E6D"/>
    <w:rsid w:val="4EA62201"/>
    <w:rsid w:val="4EAA6232"/>
    <w:rsid w:val="4EAA7FE0"/>
    <w:rsid w:val="4EB40E5E"/>
    <w:rsid w:val="4EBB45B4"/>
    <w:rsid w:val="4EC310A1"/>
    <w:rsid w:val="4EC72940"/>
    <w:rsid w:val="4ECC0997"/>
    <w:rsid w:val="4ECC75FB"/>
    <w:rsid w:val="4ECF4254"/>
    <w:rsid w:val="4ED212E5"/>
    <w:rsid w:val="4ED41501"/>
    <w:rsid w:val="4ED84B4D"/>
    <w:rsid w:val="4EDB63EB"/>
    <w:rsid w:val="4EE23C1E"/>
    <w:rsid w:val="4EEF7A83"/>
    <w:rsid w:val="4EF70D4B"/>
    <w:rsid w:val="4EF94AC3"/>
    <w:rsid w:val="4EFB0154"/>
    <w:rsid w:val="4F0A6742"/>
    <w:rsid w:val="4F135B85"/>
    <w:rsid w:val="4F2021E6"/>
    <w:rsid w:val="4F22546A"/>
    <w:rsid w:val="4F2951E3"/>
    <w:rsid w:val="4F2A7373"/>
    <w:rsid w:val="4F2E2C8D"/>
    <w:rsid w:val="4F31425D"/>
    <w:rsid w:val="4F3229F1"/>
    <w:rsid w:val="4F334479"/>
    <w:rsid w:val="4F361873"/>
    <w:rsid w:val="4F36432A"/>
    <w:rsid w:val="4F3A5808"/>
    <w:rsid w:val="4F4501D7"/>
    <w:rsid w:val="4F457D08"/>
    <w:rsid w:val="4F473A81"/>
    <w:rsid w:val="4F4E2D21"/>
    <w:rsid w:val="4F50502B"/>
    <w:rsid w:val="4F520447"/>
    <w:rsid w:val="4F5A2DD9"/>
    <w:rsid w:val="4F5C39D0"/>
    <w:rsid w:val="4F6A04F1"/>
    <w:rsid w:val="4F74239C"/>
    <w:rsid w:val="4F794C26"/>
    <w:rsid w:val="4F797645"/>
    <w:rsid w:val="4F7A5C04"/>
    <w:rsid w:val="4F7A7473"/>
    <w:rsid w:val="4F7E3A09"/>
    <w:rsid w:val="4F7F146C"/>
    <w:rsid w:val="4F813E1A"/>
    <w:rsid w:val="4F8612AD"/>
    <w:rsid w:val="4F8C3B89"/>
    <w:rsid w:val="4F8D1DDB"/>
    <w:rsid w:val="4F920A44"/>
    <w:rsid w:val="4F98034D"/>
    <w:rsid w:val="4F9A042C"/>
    <w:rsid w:val="4F9B5B7A"/>
    <w:rsid w:val="4FA709C3"/>
    <w:rsid w:val="4FA774FA"/>
    <w:rsid w:val="4FAC55CD"/>
    <w:rsid w:val="4FBD3FD3"/>
    <w:rsid w:val="4FBF3D7B"/>
    <w:rsid w:val="4FC21359"/>
    <w:rsid w:val="4FC60E49"/>
    <w:rsid w:val="4FC7696F"/>
    <w:rsid w:val="4FCD042A"/>
    <w:rsid w:val="4FD23C92"/>
    <w:rsid w:val="4FD91CDF"/>
    <w:rsid w:val="4FD92EDB"/>
    <w:rsid w:val="4FE211F9"/>
    <w:rsid w:val="4FE319FB"/>
    <w:rsid w:val="4FE70DC0"/>
    <w:rsid w:val="4FEE65F2"/>
    <w:rsid w:val="4FF0236A"/>
    <w:rsid w:val="4FF0426A"/>
    <w:rsid w:val="4FF05EC6"/>
    <w:rsid w:val="4FF122D9"/>
    <w:rsid w:val="4FF76DFD"/>
    <w:rsid w:val="4FF77255"/>
    <w:rsid w:val="4FFA0AF3"/>
    <w:rsid w:val="4FFD49BB"/>
    <w:rsid w:val="4FFD7932"/>
    <w:rsid w:val="50081462"/>
    <w:rsid w:val="500951DA"/>
    <w:rsid w:val="50106568"/>
    <w:rsid w:val="50182D92"/>
    <w:rsid w:val="50194E73"/>
    <w:rsid w:val="501A0D73"/>
    <w:rsid w:val="501A2F43"/>
    <w:rsid w:val="501F49FD"/>
    <w:rsid w:val="501F4F53"/>
    <w:rsid w:val="5025615E"/>
    <w:rsid w:val="502A3867"/>
    <w:rsid w:val="503009B9"/>
    <w:rsid w:val="503A5393"/>
    <w:rsid w:val="503C7AAB"/>
    <w:rsid w:val="50404F75"/>
    <w:rsid w:val="50406E4E"/>
    <w:rsid w:val="50414974"/>
    <w:rsid w:val="504306EC"/>
    <w:rsid w:val="50461F8A"/>
    <w:rsid w:val="504A4FED"/>
    <w:rsid w:val="50551558"/>
    <w:rsid w:val="50554B75"/>
    <w:rsid w:val="505C684E"/>
    <w:rsid w:val="50677322"/>
    <w:rsid w:val="506955FB"/>
    <w:rsid w:val="506E4500"/>
    <w:rsid w:val="50760AC1"/>
    <w:rsid w:val="50792360"/>
    <w:rsid w:val="507C3BFE"/>
    <w:rsid w:val="507E7976"/>
    <w:rsid w:val="50811214"/>
    <w:rsid w:val="50817855"/>
    <w:rsid w:val="5086283A"/>
    <w:rsid w:val="508A631B"/>
    <w:rsid w:val="50942CF5"/>
    <w:rsid w:val="509C7DFC"/>
    <w:rsid w:val="509E1DC6"/>
    <w:rsid w:val="50A53155"/>
    <w:rsid w:val="50A70C7B"/>
    <w:rsid w:val="50A75D18"/>
    <w:rsid w:val="50AC44E3"/>
    <w:rsid w:val="50AD2009"/>
    <w:rsid w:val="50AF7B2F"/>
    <w:rsid w:val="50B415EA"/>
    <w:rsid w:val="50B74C36"/>
    <w:rsid w:val="50B86A68"/>
    <w:rsid w:val="50BC554C"/>
    <w:rsid w:val="50C64E79"/>
    <w:rsid w:val="50C730CB"/>
    <w:rsid w:val="50C86E43"/>
    <w:rsid w:val="50CE4A5A"/>
    <w:rsid w:val="50D650BC"/>
    <w:rsid w:val="50D94BAC"/>
    <w:rsid w:val="50DD28EE"/>
    <w:rsid w:val="50E13A61"/>
    <w:rsid w:val="50E83041"/>
    <w:rsid w:val="50E913EE"/>
    <w:rsid w:val="50EA0B67"/>
    <w:rsid w:val="50EC2B32"/>
    <w:rsid w:val="50ED2406"/>
    <w:rsid w:val="50F639B0"/>
    <w:rsid w:val="50F65B01"/>
    <w:rsid w:val="50FD6AED"/>
    <w:rsid w:val="51011976"/>
    <w:rsid w:val="5101660C"/>
    <w:rsid w:val="510B63C7"/>
    <w:rsid w:val="511107EA"/>
    <w:rsid w:val="51134562"/>
    <w:rsid w:val="51167BAE"/>
    <w:rsid w:val="511C1459"/>
    <w:rsid w:val="511C4887"/>
    <w:rsid w:val="511F0B45"/>
    <w:rsid w:val="512027DB"/>
    <w:rsid w:val="51281690"/>
    <w:rsid w:val="512D6CA6"/>
    <w:rsid w:val="512E4EF8"/>
    <w:rsid w:val="51312C3A"/>
    <w:rsid w:val="513D338D"/>
    <w:rsid w:val="513E2C61"/>
    <w:rsid w:val="51453FF0"/>
    <w:rsid w:val="514566E6"/>
    <w:rsid w:val="514F4909"/>
    <w:rsid w:val="5153670D"/>
    <w:rsid w:val="51556929"/>
    <w:rsid w:val="515801C7"/>
    <w:rsid w:val="51586419"/>
    <w:rsid w:val="515B47F7"/>
    <w:rsid w:val="515D3A2F"/>
    <w:rsid w:val="5160707C"/>
    <w:rsid w:val="51654692"/>
    <w:rsid w:val="51666771"/>
    <w:rsid w:val="5167665C"/>
    <w:rsid w:val="516867E6"/>
    <w:rsid w:val="51752B27"/>
    <w:rsid w:val="51791EEB"/>
    <w:rsid w:val="517F5754"/>
    <w:rsid w:val="518324E1"/>
    <w:rsid w:val="51937451"/>
    <w:rsid w:val="519660C2"/>
    <w:rsid w:val="519841DA"/>
    <w:rsid w:val="519B6306"/>
    <w:rsid w:val="519F7BA4"/>
    <w:rsid w:val="51A21442"/>
    <w:rsid w:val="51AD2D4C"/>
    <w:rsid w:val="51B13991"/>
    <w:rsid w:val="51B55619"/>
    <w:rsid w:val="51B6560A"/>
    <w:rsid w:val="51B66C9C"/>
    <w:rsid w:val="51BA49DE"/>
    <w:rsid w:val="51BA678C"/>
    <w:rsid w:val="51BC69A8"/>
    <w:rsid w:val="51BD002A"/>
    <w:rsid w:val="51C527A0"/>
    <w:rsid w:val="51C65F07"/>
    <w:rsid w:val="51C71A0C"/>
    <w:rsid w:val="51DB6702"/>
    <w:rsid w:val="51DD06CC"/>
    <w:rsid w:val="51E63A25"/>
    <w:rsid w:val="51E7154B"/>
    <w:rsid w:val="51EA47B1"/>
    <w:rsid w:val="51EE6435"/>
    <w:rsid w:val="51F37EF0"/>
    <w:rsid w:val="51F51E24"/>
    <w:rsid w:val="51F55A16"/>
    <w:rsid w:val="51F83758"/>
    <w:rsid w:val="51F872B4"/>
    <w:rsid w:val="51FA2BA9"/>
    <w:rsid w:val="52015185"/>
    <w:rsid w:val="52045C59"/>
    <w:rsid w:val="52065863"/>
    <w:rsid w:val="52071F9B"/>
    <w:rsid w:val="520C2D5F"/>
    <w:rsid w:val="520F1E5B"/>
    <w:rsid w:val="52171E30"/>
    <w:rsid w:val="521F4367"/>
    <w:rsid w:val="52205F7C"/>
    <w:rsid w:val="52234F0C"/>
    <w:rsid w:val="522832D5"/>
    <w:rsid w:val="52285DEB"/>
    <w:rsid w:val="522955DE"/>
    <w:rsid w:val="522956BF"/>
    <w:rsid w:val="522E717A"/>
    <w:rsid w:val="52320A18"/>
    <w:rsid w:val="52345534"/>
    <w:rsid w:val="523D116B"/>
    <w:rsid w:val="523E560F"/>
    <w:rsid w:val="525703F8"/>
    <w:rsid w:val="525B73CE"/>
    <w:rsid w:val="525F5585"/>
    <w:rsid w:val="52635075"/>
    <w:rsid w:val="52683A31"/>
    <w:rsid w:val="527C7EE5"/>
    <w:rsid w:val="52860D64"/>
    <w:rsid w:val="528A2221"/>
    <w:rsid w:val="528A2602"/>
    <w:rsid w:val="528D5C4E"/>
    <w:rsid w:val="52961E90"/>
    <w:rsid w:val="52990A97"/>
    <w:rsid w:val="529C40E3"/>
    <w:rsid w:val="52A03BD4"/>
    <w:rsid w:val="52A336C4"/>
    <w:rsid w:val="52A43740"/>
    <w:rsid w:val="52A5743C"/>
    <w:rsid w:val="52A631B4"/>
    <w:rsid w:val="52AF2069"/>
    <w:rsid w:val="52B00EFD"/>
    <w:rsid w:val="52BC6534"/>
    <w:rsid w:val="52C13607"/>
    <w:rsid w:val="52C378C2"/>
    <w:rsid w:val="52D01FDF"/>
    <w:rsid w:val="52D25D57"/>
    <w:rsid w:val="52D6666B"/>
    <w:rsid w:val="52D7511B"/>
    <w:rsid w:val="52D970E6"/>
    <w:rsid w:val="52DE294E"/>
    <w:rsid w:val="52E141EC"/>
    <w:rsid w:val="52E579D6"/>
    <w:rsid w:val="52E875D2"/>
    <w:rsid w:val="52EB7DC5"/>
    <w:rsid w:val="52ED493F"/>
    <w:rsid w:val="52EF0D28"/>
    <w:rsid w:val="52EF6909"/>
    <w:rsid w:val="5302663C"/>
    <w:rsid w:val="53051C89"/>
    <w:rsid w:val="530D6D8F"/>
    <w:rsid w:val="530D6F1F"/>
    <w:rsid w:val="530E5FE6"/>
    <w:rsid w:val="530F0D59"/>
    <w:rsid w:val="530F45D0"/>
    <w:rsid w:val="531170EE"/>
    <w:rsid w:val="531225F7"/>
    <w:rsid w:val="531F34FF"/>
    <w:rsid w:val="532218D2"/>
    <w:rsid w:val="53225F6F"/>
    <w:rsid w:val="53236374"/>
    <w:rsid w:val="532952A4"/>
    <w:rsid w:val="53364538"/>
    <w:rsid w:val="533E33EC"/>
    <w:rsid w:val="533F163E"/>
    <w:rsid w:val="53400F13"/>
    <w:rsid w:val="53430E3E"/>
    <w:rsid w:val="534B67E7"/>
    <w:rsid w:val="53511372"/>
    <w:rsid w:val="53580D22"/>
    <w:rsid w:val="53590226"/>
    <w:rsid w:val="535D303B"/>
    <w:rsid w:val="535F3A8F"/>
    <w:rsid w:val="53607807"/>
    <w:rsid w:val="536300CA"/>
    <w:rsid w:val="536368CD"/>
    <w:rsid w:val="536410A5"/>
    <w:rsid w:val="53670B95"/>
    <w:rsid w:val="53681553"/>
    <w:rsid w:val="536A41E2"/>
    <w:rsid w:val="536D7406"/>
    <w:rsid w:val="536D782E"/>
    <w:rsid w:val="53753348"/>
    <w:rsid w:val="53764934"/>
    <w:rsid w:val="53776561"/>
    <w:rsid w:val="537F4332"/>
    <w:rsid w:val="537F7C8D"/>
    <w:rsid w:val="538B6881"/>
    <w:rsid w:val="539733DA"/>
    <w:rsid w:val="539D5E7C"/>
    <w:rsid w:val="53A522D0"/>
    <w:rsid w:val="53B4545D"/>
    <w:rsid w:val="53B51A02"/>
    <w:rsid w:val="53B67427"/>
    <w:rsid w:val="53B84F4D"/>
    <w:rsid w:val="53BB67EB"/>
    <w:rsid w:val="53BD07B5"/>
    <w:rsid w:val="53BE102D"/>
    <w:rsid w:val="53C2401E"/>
    <w:rsid w:val="53C47D96"/>
    <w:rsid w:val="53CB2ED2"/>
    <w:rsid w:val="53CE651E"/>
    <w:rsid w:val="53CE6E7F"/>
    <w:rsid w:val="53D22156"/>
    <w:rsid w:val="53D61877"/>
    <w:rsid w:val="53D8739D"/>
    <w:rsid w:val="53DD2882"/>
    <w:rsid w:val="53E73A84"/>
    <w:rsid w:val="53E76204"/>
    <w:rsid w:val="53E775E0"/>
    <w:rsid w:val="53E8043C"/>
    <w:rsid w:val="53F32429"/>
    <w:rsid w:val="53F561A1"/>
    <w:rsid w:val="53F73CC7"/>
    <w:rsid w:val="53F817ED"/>
    <w:rsid w:val="53FA37B7"/>
    <w:rsid w:val="53FA7313"/>
    <w:rsid w:val="54014B46"/>
    <w:rsid w:val="540208BE"/>
    <w:rsid w:val="5406215C"/>
    <w:rsid w:val="540B7773"/>
    <w:rsid w:val="54136627"/>
    <w:rsid w:val="54185762"/>
    <w:rsid w:val="5419780A"/>
    <w:rsid w:val="54280325"/>
    <w:rsid w:val="542C6388"/>
    <w:rsid w:val="54360282"/>
    <w:rsid w:val="543D36A4"/>
    <w:rsid w:val="543D5452"/>
    <w:rsid w:val="543E18F6"/>
    <w:rsid w:val="543E7CE1"/>
    <w:rsid w:val="54400401"/>
    <w:rsid w:val="5443063A"/>
    <w:rsid w:val="54462559"/>
    <w:rsid w:val="544B5DC1"/>
    <w:rsid w:val="545253A1"/>
    <w:rsid w:val="54532E69"/>
    <w:rsid w:val="5455494F"/>
    <w:rsid w:val="54560BAB"/>
    <w:rsid w:val="545729B8"/>
    <w:rsid w:val="545F4A77"/>
    <w:rsid w:val="545F7ABE"/>
    <w:rsid w:val="54694499"/>
    <w:rsid w:val="546A11C8"/>
    <w:rsid w:val="546B0211"/>
    <w:rsid w:val="546B2918"/>
    <w:rsid w:val="546E1AAF"/>
    <w:rsid w:val="54716D98"/>
    <w:rsid w:val="547370C6"/>
    <w:rsid w:val="54770574"/>
    <w:rsid w:val="547A48F8"/>
    <w:rsid w:val="547A68FE"/>
    <w:rsid w:val="547F1F0F"/>
    <w:rsid w:val="54882B71"/>
    <w:rsid w:val="548968E9"/>
    <w:rsid w:val="548B08B3"/>
    <w:rsid w:val="549120B9"/>
    <w:rsid w:val="5492579E"/>
    <w:rsid w:val="54971006"/>
    <w:rsid w:val="549E4143"/>
    <w:rsid w:val="54A36FD5"/>
    <w:rsid w:val="54A92AE8"/>
    <w:rsid w:val="54AD6A7C"/>
    <w:rsid w:val="54B27BEE"/>
    <w:rsid w:val="54B576DE"/>
    <w:rsid w:val="54B716A8"/>
    <w:rsid w:val="54B73456"/>
    <w:rsid w:val="54B90F7D"/>
    <w:rsid w:val="54C36822"/>
    <w:rsid w:val="54D23DEC"/>
    <w:rsid w:val="54D35A2E"/>
    <w:rsid w:val="54D7642C"/>
    <w:rsid w:val="54D933CD"/>
    <w:rsid w:val="54DA6DE2"/>
    <w:rsid w:val="54E5725F"/>
    <w:rsid w:val="54E655C1"/>
    <w:rsid w:val="54EB118C"/>
    <w:rsid w:val="54EF499E"/>
    <w:rsid w:val="54F2623D"/>
    <w:rsid w:val="54F868B9"/>
    <w:rsid w:val="54F93A6F"/>
    <w:rsid w:val="55006D74"/>
    <w:rsid w:val="55083131"/>
    <w:rsid w:val="55083CB2"/>
    <w:rsid w:val="55085A60"/>
    <w:rsid w:val="550D3CF7"/>
    <w:rsid w:val="550D406A"/>
    <w:rsid w:val="55102B67"/>
    <w:rsid w:val="55115E79"/>
    <w:rsid w:val="55152FCA"/>
    <w:rsid w:val="551A5EDA"/>
    <w:rsid w:val="551C150B"/>
    <w:rsid w:val="551D59AF"/>
    <w:rsid w:val="551E5284"/>
    <w:rsid w:val="552F56E3"/>
    <w:rsid w:val="552F73AB"/>
    <w:rsid w:val="55314FB7"/>
    <w:rsid w:val="55342CF9"/>
    <w:rsid w:val="5534548C"/>
    <w:rsid w:val="5537307F"/>
    <w:rsid w:val="553E1482"/>
    <w:rsid w:val="553E76D4"/>
    <w:rsid w:val="554A42CB"/>
    <w:rsid w:val="55544351"/>
    <w:rsid w:val="555B2C8B"/>
    <w:rsid w:val="555D5DAC"/>
    <w:rsid w:val="5560764A"/>
    <w:rsid w:val="556A2277"/>
    <w:rsid w:val="556F5A13"/>
    <w:rsid w:val="5579617C"/>
    <w:rsid w:val="557D644E"/>
    <w:rsid w:val="55853555"/>
    <w:rsid w:val="558C6691"/>
    <w:rsid w:val="558D5FF1"/>
    <w:rsid w:val="55915A56"/>
    <w:rsid w:val="55992DB2"/>
    <w:rsid w:val="559A7000"/>
    <w:rsid w:val="559F5F83"/>
    <w:rsid w:val="55B1404F"/>
    <w:rsid w:val="55B15661"/>
    <w:rsid w:val="55B300C2"/>
    <w:rsid w:val="55B451AC"/>
    <w:rsid w:val="55C23E61"/>
    <w:rsid w:val="55C951EF"/>
    <w:rsid w:val="55C95F8F"/>
    <w:rsid w:val="55D96608"/>
    <w:rsid w:val="55DF2C65"/>
    <w:rsid w:val="55E069DD"/>
    <w:rsid w:val="55E2467B"/>
    <w:rsid w:val="55E60767"/>
    <w:rsid w:val="55EA3434"/>
    <w:rsid w:val="55F12998"/>
    <w:rsid w:val="5604091D"/>
    <w:rsid w:val="56042BA1"/>
    <w:rsid w:val="560616BB"/>
    <w:rsid w:val="56097CE2"/>
    <w:rsid w:val="56147403"/>
    <w:rsid w:val="561A3C9D"/>
    <w:rsid w:val="56252250"/>
    <w:rsid w:val="56290707"/>
    <w:rsid w:val="56292132"/>
    <w:rsid w:val="562A1303"/>
    <w:rsid w:val="562B7020"/>
    <w:rsid w:val="562E14F6"/>
    <w:rsid w:val="562F5060"/>
    <w:rsid w:val="56310FE7"/>
    <w:rsid w:val="5637484F"/>
    <w:rsid w:val="56384123"/>
    <w:rsid w:val="56486A5C"/>
    <w:rsid w:val="5664316A"/>
    <w:rsid w:val="566B0128"/>
    <w:rsid w:val="566B44F9"/>
    <w:rsid w:val="566E6689"/>
    <w:rsid w:val="56737851"/>
    <w:rsid w:val="56772E9D"/>
    <w:rsid w:val="56794E67"/>
    <w:rsid w:val="567A0BDF"/>
    <w:rsid w:val="567A473C"/>
    <w:rsid w:val="567B0955"/>
    <w:rsid w:val="567C6706"/>
    <w:rsid w:val="567F3C59"/>
    <w:rsid w:val="56811F6E"/>
    <w:rsid w:val="568870AB"/>
    <w:rsid w:val="568B7456"/>
    <w:rsid w:val="56902520"/>
    <w:rsid w:val="56941CA1"/>
    <w:rsid w:val="56951575"/>
    <w:rsid w:val="56961C81"/>
    <w:rsid w:val="569A3030"/>
    <w:rsid w:val="569F23F4"/>
    <w:rsid w:val="56A65531"/>
    <w:rsid w:val="56A874FB"/>
    <w:rsid w:val="56AD005E"/>
    <w:rsid w:val="56AD4B11"/>
    <w:rsid w:val="56AE2637"/>
    <w:rsid w:val="56B2713D"/>
    <w:rsid w:val="56C67981"/>
    <w:rsid w:val="56C87B9D"/>
    <w:rsid w:val="56CA56C3"/>
    <w:rsid w:val="56DE25B3"/>
    <w:rsid w:val="56E43592"/>
    <w:rsid w:val="56E76CA8"/>
    <w:rsid w:val="56E9366F"/>
    <w:rsid w:val="56EB73E7"/>
    <w:rsid w:val="56EE0C86"/>
    <w:rsid w:val="56F24C1A"/>
    <w:rsid w:val="56F50266"/>
    <w:rsid w:val="56FA587C"/>
    <w:rsid w:val="56FB1D20"/>
    <w:rsid w:val="56FC15F5"/>
    <w:rsid w:val="56FC7846"/>
    <w:rsid w:val="56FE7643"/>
    <w:rsid w:val="57064221"/>
    <w:rsid w:val="57073FA4"/>
    <w:rsid w:val="570E6215"/>
    <w:rsid w:val="57117EF0"/>
    <w:rsid w:val="57174680"/>
    <w:rsid w:val="571903F8"/>
    <w:rsid w:val="571921A6"/>
    <w:rsid w:val="57193F55"/>
    <w:rsid w:val="571C3A45"/>
    <w:rsid w:val="572052E3"/>
    <w:rsid w:val="57212E09"/>
    <w:rsid w:val="57217210"/>
    <w:rsid w:val="57274B21"/>
    <w:rsid w:val="572A43B4"/>
    <w:rsid w:val="572F455A"/>
    <w:rsid w:val="5730129E"/>
    <w:rsid w:val="57390153"/>
    <w:rsid w:val="57392F09"/>
    <w:rsid w:val="573C40E7"/>
    <w:rsid w:val="573E1C0D"/>
    <w:rsid w:val="57451C8B"/>
    <w:rsid w:val="574A2360"/>
    <w:rsid w:val="574D3BFE"/>
    <w:rsid w:val="574F7976"/>
    <w:rsid w:val="57534C90"/>
    <w:rsid w:val="5754172F"/>
    <w:rsid w:val="576378C6"/>
    <w:rsid w:val="57650F48"/>
    <w:rsid w:val="576735BA"/>
    <w:rsid w:val="57717A51"/>
    <w:rsid w:val="57825F9E"/>
    <w:rsid w:val="578746A1"/>
    <w:rsid w:val="57874C2A"/>
    <w:rsid w:val="578E43CC"/>
    <w:rsid w:val="57901ACD"/>
    <w:rsid w:val="579637F7"/>
    <w:rsid w:val="57981AE1"/>
    <w:rsid w:val="579856DB"/>
    <w:rsid w:val="57996E43"/>
    <w:rsid w:val="579B705F"/>
    <w:rsid w:val="579B774A"/>
    <w:rsid w:val="579D6934"/>
    <w:rsid w:val="579E08FE"/>
    <w:rsid w:val="57A31A70"/>
    <w:rsid w:val="57A33790"/>
    <w:rsid w:val="57A75A04"/>
    <w:rsid w:val="57A852D8"/>
    <w:rsid w:val="57A94CA2"/>
    <w:rsid w:val="57B10631"/>
    <w:rsid w:val="57B43C7D"/>
    <w:rsid w:val="57BB500C"/>
    <w:rsid w:val="57BD5D4B"/>
    <w:rsid w:val="57C06AC6"/>
    <w:rsid w:val="57C57C38"/>
    <w:rsid w:val="57C93BCD"/>
    <w:rsid w:val="57CA4627"/>
    <w:rsid w:val="57CC0FC7"/>
    <w:rsid w:val="57CD4D3F"/>
    <w:rsid w:val="57D52195"/>
    <w:rsid w:val="57D84237"/>
    <w:rsid w:val="57D91936"/>
    <w:rsid w:val="57D93DEE"/>
    <w:rsid w:val="57DC3459"/>
    <w:rsid w:val="57E26A3C"/>
    <w:rsid w:val="57E63126"/>
    <w:rsid w:val="57E744B6"/>
    <w:rsid w:val="57E857A3"/>
    <w:rsid w:val="57E9281C"/>
    <w:rsid w:val="57ED72D4"/>
    <w:rsid w:val="57F10A2D"/>
    <w:rsid w:val="57F64296"/>
    <w:rsid w:val="57F83252"/>
    <w:rsid w:val="580469B3"/>
    <w:rsid w:val="58046C54"/>
    <w:rsid w:val="58052727"/>
    <w:rsid w:val="580746F5"/>
    <w:rsid w:val="580D67C4"/>
    <w:rsid w:val="580F5357"/>
    <w:rsid w:val="5813777B"/>
    <w:rsid w:val="581A52BC"/>
    <w:rsid w:val="581E5EF6"/>
    <w:rsid w:val="582249A1"/>
    <w:rsid w:val="5822508B"/>
    <w:rsid w:val="582B03E3"/>
    <w:rsid w:val="582C415B"/>
    <w:rsid w:val="58313520"/>
    <w:rsid w:val="58426D7F"/>
    <w:rsid w:val="58474AF1"/>
    <w:rsid w:val="58490869"/>
    <w:rsid w:val="584B5DDC"/>
    <w:rsid w:val="584D65C5"/>
    <w:rsid w:val="584E40D2"/>
    <w:rsid w:val="584E7C2E"/>
    <w:rsid w:val="585A2A77"/>
    <w:rsid w:val="585A65D3"/>
    <w:rsid w:val="585B5C1B"/>
    <w:rsid w:val="585F1E3B"/>
    <w:rsid w:val="586B5A3B"/>
    <w:rsid w:val="586E6522"/>
    <w:rsid w:val="58705DF6"/>
    <w:rsid w:val="58772D76"/>
    <w:rsid w:val="58783EE0"/>
    <w:rsid w:val="58831FCD"/>
    <w:rsid w:val="58922210"/>
    <w:rsid w:val="58935F89"/>
    <w:rsid w:val="58953AAF"/>
    <w:rsid w:val="5898534D"/>
    <w:rsid w:val="589B45FE"/>
    <w:rsid w:val="589C08EA"/>
    <w:rsid w:val="58A2687E"/>
    <w:rsid w:val="58A706B3"/>
    <w:rsid w:val="58B54151"/>
    <w:rsid w:val="58BA1767"/>
    <w:rsid w:val="58BF6D7E"/>
    <w:rsid w:val="58C12AF6"/>
    <w:rsid w:val="58C223CA"/>
    <w:rsid w:val="58CD149A"/>
    <w:rsid w:val="58CF3EB9"/>
    <w:rsid w:val="58D643B7"/>
    <w:rsid w:val="58D7398A"/>
    <w:rsid w:val="58E9459E"/>
    <w:rsid w:val="58EA204C"/>
    <w:rsid w:val="58EE6BF5"/>
    <w:rsid w:val="58EF1411"/>
    <w:rsid w:val="58F033DB"/>
    <w:rsid w:val="58F05189"/>
    <w:rsid w:val="58F12A5D"/>
    <w:rsid w:val="58F307D5"/>
    <w:rsid w:val="58F76517"/>
    <w:rsid w:val="58F92290"/>
    <w:rsid w:val="58FA6008"/>
    <w:rsid w:val="58FE78A6"/>
    <w:rsid w:val="59041CB3"/>
    <w:rsid w:val="590843C1"/>
    <w:rsid w:val="590D53E3"/>
    <w:rsid w:val="590D7AE9"/>
    <w:rsid w:val="590F0AB8"/>
    <w:rsid w:val="591250FF"/>
    <w:rsid w:val="591D4BCC"/>
    <w:rsid w:val="59213594"/>
    <w:rsid w:val="59291830"/>
    <w:rsid w:val="592F7A5F"/>
    <w:rsid w:val="593037D7"/>
    <w:rsid w:val="5932754F"/>
    <w:rsid w:val="59396B30"/>
    <w:rsid w:val="593B28A8"/>
    <w:rsid w:val="593C2FD0"/>
    <w:rsid w:val="593C3F2A"/>
    <w:rsid w:val="59412FB3"/>
    <w:rsid w:val="59413C36"/>
    <w:rsid w:val="594159E5"/>
    <w:rsid w:val="5943350B"/>
    <w:rsid w:val="5947124D"/>
    <w:rsid w:val="59487BDA"/>
    <w:rsid w:val="594C496D"/>
    <w:rsid w:val="594F3F6E"/>
    <w:rsid w:val="595B0A91"/>
    <w:rsid w:val="595B2A02"/>
    <w:rsid w:val="5963595B"/>
    <w:rsid w:val="596C0CB3"/>
    <w:rsid w:val="596C2A61"/>
    <w:rsid w:val="596D0284"/>
    <w:rsid w:val="596D67DA"/>
    <w:rsid w:val="596F4300"/>
    <w:rsid w:val="59715246"/>
    <w:rsid w:val="597162CA"/>
    <w:rsid w:val="59747B68"/>
    <w:rsid w:val="597B0EF6"/>
    <w:rsid w:val="597D54F1"/>
    <w:rsid w:val="59875AED"/>
    <w:rsid w:val="5987789B"/>
    <w:rsid w:val="59885802"/>
    <w:rsid w:val="598D0C2A"/>
    <w:rsid w:val="59962E6C"/>
    <w:rsid w:val="599A624A"/>
    <w:rsid w:val="599E352A"/>
    <w:rsid w:val="59A55F73"/>
    <w:rsid w:val="59A8176B"/>
    <w:rsid w:val="59A91988"/>
    <w:rsid w:val="59AD3497"/>
    <w:rsid w:val="59B461B6"/>
    <w:rsid w:val="59BF0F6B"/>
    <w:rsid w:val="59C571EB"/>
    <w:rsid w:val="59C7413C"/>
    <w:rsid w:val="59C75501"/>
    <w:rsid w:val="59C77C98"/>
    <w:rsid w:val="59CE54CA"/>
    <w:rsid w:val="59D10B16"/>
    <w:rsid w:val="59D26E44"/>
    <w:rsid w:val="59D6437F"/>
    <w:rsid w:val="59D90879"/>
    <w:rsid w:val="59DF76D7"/>
    <w:rsid w:val="59E22D24"/>
    <w:rsid w:val="59E77422"/>
    <w:rsid w:val="59EF7598"/>
    <w:rsid w:val="59F51775"/>
    <w:rsid w:val="59FF03FF"/>
    <w:rsid w:val="5A0013FC"/>
    <w:rsid w:val="5A0122D6"/>
    <w:rsid w:val="5A074538"/>
    <w:rsid w:val="5A0B3A87"/>
    <w:rsid w:val="5A110F4E"/>
    <w:rsid w:val="5A1153B7"/>
    <w:rsid w:val="5A117165"/>
    <w:rsid w:val="5A144EA7"/>
    <w:rsid w:val="5A1F5D26"/>
    <w:rsid w:val="5A221372"/>
    <w:rsid w:val="5A2C21F1"/>
    <w:rsid w:val="5A2E5F69"/>
    <w:rsid w:val="5A2F3A8F"/>
    <w:rsid w:val="5A321746"/>
    <w:rsid w:val="5A33357F"/>
    <w:rsid w:val="5A341D42"/>
    <w:rsid w:val="5A3A490E"/>
    <w:rsid w:val="5A3B0686"/>
    <w:rsid w:val="5A3C1E42"/>
    <w:rsid w:val="5A440D18"/>
    <w:rsid w:val="5A44355E"/>
    <w:rsid w:val="5A4440FC"/>
    <w:rsid w:val="5A44519F"/>
    <w:rsid w:val="5A490FF5"/>
    <w:rsid w:val="5A4C4641"/>
    <w:rsid w:val="5A4C5509"/>
    <w:rsid w:val="5A552FA2"/>
    <w:rsid w:val="5A56726E"/>
    <w:rsid w:val="5A5A0B0C"/>
    <w:rsid w:val="5A5F25C6"/>
    <w:rsid w:val="5A680D03"/>
    <w:rsid w:val="5A6B0F6B"/>
    <w:rsid w:val="5A734C84"/>
    <w:rsid w:val="5A753BEA"/>
    <w:rsid w:val="5A7D2A4C"/>
    <w:rsid w:val="5A7F67C4"/>
    <w:rsid w:val="5A8341C0"/>
    <w:rsid w:val="5A875679"/>
    <w:rsid w:val="5A93401E"/>
    <w:rsid w:val="5A971D60"/>
    <w:rsid w:val="5A9A53AC"/>
    <w:rsid w:val="5A9B2163"/>
    <w:rsid w:val="5AA5119C"/>
    <w:rsid w:val="5AA955EF"/>
    <w:rsid w:val="5AB02E22"/>
    <w:rsid w:val="5AB15FDF"/>
    <w:rsid w:val="5AB26B9A"/>
    <w:rsid w:val="5ABB7080"/>
    <w:rsid w:val="5ABD109B"/>
    <w:rsid w:val="5ABF78ED"/>
    <w:rsid w:val="5AC10B8B"/>
    <w:rsid w:val="5AC4067B"/>
    <w:rsid w:val="5AC84908"/>
    <w:rsid w:val="5AC86513"/>
    <w:rsid w:val="5ACA41B1"/>
    <w:rsid w:val="5AD66E02"/>
    <w:rsid w:val="5ADB7F1D"/>
    <w:rsid w:val="5AE42ACB"/>
    <w:rsid w:val="5AEB5C08"/>
    <w:rsid w:val="5AFB2C10"/>
    <w:rsid w:val="5AFF7905"/>
    <w:rsid w:val="5B062A42"/>
    <w:rsid w:val="5B067E27"/>
    <w:rsid w:val="5B0D5B7E"/>
    <w:rsid w:val="5B117BCA"/>
    <w:rsid w:val="5B1769FD"/>
    <w:rsid w:val="5B1E5FDD"/>
    <w:rsid w:val="5B21787C"/>
    <w:rsid w:val="5B2353A2"/>
    <w:rsid w:val="5B266C40"/>
    <w:rsid w:val="5B294982"/>
    <w:rsid w:val="5B2B4256"/>
    <w:rsid w:val="5B2D4472"/>
    <w:rsid w:val="5B2D7FCE"/>
    <w:rsid w:val="5B35153F"/>
    <w:rsid w:val="5B370E4D"/>
    <w:rsid w:val="5B3752F1"/>
    <w:rsid w:val="5B3C6463"/>
    <w:rsid w:val="5B3E6390"/>
    <w:rsid w:val="5B40328B"/>
    <w:rsid w:val="5B4876F8"/>
    <w:rsid w:val="5B4F0949"/>
    <w:rsid w:val="5B5654C5"/>
    <w:rsid w:val="5B57329D"/>
    <w:rsid w:val="5B653C0C"/>
    <w:rsid w:val="5B657A79"/>
    <w:rsid w:val="5B6634E0"/>
    <w:rsid w:val="5B665FDC"/>
    <w:rsid w:val="5B7018B6"/>
    <w:rsid w:val="5B726329"/>
    <w:rsid w:val="5B7377AF"/>
    <w:rsid w:val="5B7756EE"/>
    <w:rsid w:val="5B825744"/>
    <w:rsid w:val="5B857E0A"/>
    <w:rsid w:val="5B88429C"/>
    <w:rsid w:val="5B8A3673"/>
    <w:rsid w:val="5B8C3B8D"/>
    <w:rsid w:val="5B8F6122"/>
    <w:rsid w:val="5B955B74"/>
    <w:rsid w:val="5BA069F2"/>
    <w:rsid w:val="5BA1276A"/>
    <w:rsid w:val="5BA83103"/>
    <w:rsid w:val="5BAA01D6"/>
    <w:rsid w:val="5BAE68A6"/>
    <w:rsid w:val="5BB31443"/>
    <w:rsid w:val="5BB46942"/>
    <w:rsid w:val="5BBA55DA"/>
    <w:rsid w:val="5BBC75A4"/>
    <w:rsid w:val="5BC528FD"/>
    <w:rsid w:val="5BC55FF9"/>
    <w:rsid w:val="5BC76E35"/>
    <w:rsid w:val="5BC872EC"/>
    <w:rsid w:val="5BCA1CC1"/>
    <w:rsid w:val="5BCB77E7"/>
    <w:rsid w:val="5BD007B0"/>
    <w:rsid w:val="5BD20B76"/>
    <w:rsid w:val="5BD23CD1"/>
    <w:rsid w:val="5BD306EC"/>
    <w:rsid w:val="5BE2525D"/>
    <w:rsid w:val="5BE663CF"/>
    <w:rsid w:val="5BED3C02"/>
    <w:rsid w:val="5BF31218"/>
    <w:rsid w:val="5BF62AB6"/>
    <w:rsid w:val="5BF64864"/>
    <w:rsid w:val="5BF75E4A"/>
    <w:rsid w:val="5BF77D62"/>
    <w:rsid w:val="5BFB631F"/>
    <w:rsid w:val="5BFE5E0F"/>
    <w:rsid w:val="5C015C64"/>
    <w:rsid w:val="5C0A182E"/>
    <w:rsid w:val="5C0A6A5D"/>
    <w:rsid w:val="5C0B0692"/>
    <w:rsid w:val="5C0E48C9"/>
    <w:rsid w:val="5C13332E"/>
    <w:rsid w:val="5C182A2D"/>
    <w:rsid w:val="5C1B251D"/>
    <w:rsid w:val="5C255642"/>
    <w:rsid w:val="5C256DE0"/>
    <w:rsid w:val="5C283EC9"/>
    <w:rsid w:val="5C294C3A"/>
    <w:rsid w:val="5C317F92"/>
    <w:rsid w:val="5C3655A9"/>
    <w:rsid w:val="5C3B223B"/>
    <w:rsid w:val="5C403D31"/>
    <w:rsid w:val="5C4336A2"/>
    <w:rsid w:val="5C467D58"/>
    <w:rsid w:val="5C4B1CF3"/>
    <w:rsid w:val="5C4E46A0"/>
    <w:rsid w:val="5C593045"/>
    <w:rsid w:val="5C5B6DBD"/>
    <w:rsid w:val="5C5F68AD"/>
    <w:rsid w:val="5C645C72"/>
    <w:rsid w:val="5C657C3C"/>
    <w:rsid w:val="5C675762"/>
    <w:rsid w:val="5C6914DA"/>
    <w:rsid w:val="5C693288"/>
    <w:rsid w:val="5C7165E1"/>
    <w:rsid w:val="5C732359"/>
    <w:rsid w:val="5C766912"/>
    <w:rsid w:val="5C78303A"/>
    <w:rsid w:val="5C844566"/>
    <w:rsid w:val="5C871960"/>
    <w:rsid w:val="5C88413B"/>
    <w:rsid w:val="5C8A3266"/>
    <w:rsid w:val="5C955735"/>
    <w:rsid w:val="5C98591B"/>
    <w:rsid w:val="5C9A78E6"/>
    <w:rsid w:val="5C9B540C"/>
    <w:rsid w:val="5C9C18B0"/>
    <w:rsid w:val="5CA50038"/>
    <w:rsid w:val="5CA97B29"/>
    <w:rsid w:val="5CAB1AF3"/>
    <w:rsid w:val="5CAB34ED"/>
    <w:rsid w:val="5CAC1F18"/>
    <w:rsid w:val="5CAC7619"/>
    <w:rsid w:val="5CAE76F5"/>
    <w:rsid w:val="5CBC305F"/>
    <w:rsid w:val="5CBF559E"/>
    <w:rsid w:val="5CC11316"/>
    <w:rsid w:val="5CC5726B"/>
    <w:rsid w:val="5CC93999"/>
    <w:rsid w:val="5CCD7CBB"/>
    <w:rsid w:val="5CD821BC"/>
    <w:rsid w:val="5CD96403"/>
    <w:rsid w:val="5CD97708"/>
    <w:rsid w:val="5CDA4186"/>
    <w:rsid w:val="5CDD35A4"/>
    <w:rsid w:val="5CE95E07"/>
    <w:rsid w:val="5CEB1EEF"/>
    <w:rsid w:val="5CEE2CA5"/>
    <w:rsid w:val="5CEE3EA5"/>
    <w:rsid w:val="5CEF3C88"/>
    <w:rsid w:val="5CF16475"/>
    <w:rsid w:val="5CF31AB8"/>
    <w:rsid w:val="5CF3349A"/>
    <w:rsid w:val="5CFC40FC"/>
    <w:rsid w:val="5CFE06F1"/>
    <w:rsid w:val="5CFE60C6"/>
    <w:rsid w:val="5D017965"/>
    <w:rsid w:val="5D041203"/>
    <w:rsid w:val="5D0714FF"/>
    <w:rsid w:val="5D0C49FD"/>
    <w:rsid w:val="5D0D02F8"/>
    <w:rsid w:val="5D0F673A"/>
    <w:rsid w:val="5D1551BE"/>
    <w:rsid w:val="5D184EC9"/>
    <w:rsid w:val="5D192F00"/>
    <w:rsid w:val="5D1A6C78"/>
    <w:rsid w:val="5D1E7479"/>
    <w:rsid w:val="5D212E02"/>
    <w:rsid w:val="5D2A43A9"/>
    <w:rsid w:val="5D2B1822"/>
    <w:rsid w:val="5D2D2508"/>
    <w:rsid w:val="5D2D69AC"/>
    <w:rsid w:val="5D315192"/>
    <w:rsid w:val="5D373812"/>
    <w:rsid w:val="5D424B0B"/>
    <w:rsid w:val="5D467A6D"/>
    <w:rsid w:val="5D470AA3"/>
    <w:rsid w:val="5D5201C0"/>
    <w:rsid w:val="5D543F38"/>
    <w:rsid w:val="5D57419D"/>
    <w:rsid w:val="5D5757D7"/>
    <w:rsid w:val="5D5A0E23"/>
    <w:rsid w:val="5D5A52C7"/>
    <w:rsid w:val="5D5A7075"/>
    <w:rsid w:val="5D5F6598"/>
    <w:rsid w:val="5D6677C8"/>
    <w:rsid w:val="5D6D0B56"/>
    <w:rsid w:val="5D6D4FFA"/>
    <w:rsid w:val="5D6E5040"/>
    <w:rsid w:val="5D704D3A"/>
    <w:rsid w:val="5D740137"/>
    <w:rsid w:val="5D7719D5"/>
    <w:rsid w:val="5D7C1EF6"/>
    <w:rsid w:val="5D7F6ADB"/>
    <w:rsid w:val="5D850596"/>
    <w:rsid w:val="5D867E6A"/>
    <w:rsid w:val="5D881E34"/>
    <w:rsid w:val="5D9562FF"/>
    <w:rsid w:val="5D9A4357"/>
    <w:rsid w:val="5D9E7499"/>
    <w:rsid w:val="5DA30A1C"/>
    <w:rsid w:val="5DA36C6E"/>
    <w:rsid w:val="5DA6050C"/>
    <w:rsid w:val="5DA86032"/>
    <w:rsid w:val="5DB03139"/>
    <w:rsid w:val="5DBA7B13"/>
    <w:rsid w:val="5DC0337C"/>
    <w:rsid w:val="5DC236D1"/>
    <w:rsid w:val="5DC82230"/>
    <w:rsid w:val="5DCC1F1C"/>
    <w:rsid w:val="5DCD3CEB"/>
    <w:rsid w:val="5DCF1811"/>
    <w:rsid w:val="5DD30ADE"/>
    <w:rsid w:val="5DD76917"/>
    <w:rsid w:val="5DE132F2"/>
    <w:rsid w:val="5DE52DE2"/>
    <w:rsid w:val="5DEA664B"/>
    <w:rsid w:val="5E021DDE"/>
    <w:rsid w:val="5E0517A5"/>
    <w:rsid w:val="5E0D2339"/>
    <w:rsid w:val="5E0D2C98"/>
    <w:rsid w:val="5E111E29"/>
    <w:rsid w:val="5E135BA1"/>
    <w:rsid w:val="5E162F9C"/>
    <w:rsid w:val="5E2002BE"/>
    <w:rsid w:val="5E282CCF"/>
    <w:rsid w:val="5E2B6C87"/>
    <w:rsid w:val="5E2F405E"/>
    <w:rsid w:val="5E323B4E"/>
    <w:rsid w:val="5E33012D"/>
    <w:rsid w:val="5E343D6A"/>
    <w:rsid w:val="5E3653EC"/>
    <w:rsid w:val="5E3E02F1"/>
    <w:rsid w:val="5E457D25"/>
    <w:rsid w:val="5E4D2736"/>
    <w:rsid w:val="5E4D6BEB"/>
    <w:rsid w:val="5E5341F0"/>
    <w:rsid w:val="5E656BEB"/>
    <w:rsid w:val="5E7B2ECB"/>
    <w:rsid w:val="5E7D74BF"/>
    <w:rsid w:val="5E7E2EFC"/>
    <w:rsid w:val="5E820631"/>
    <w:rsid w:val="5E914EC2"/>
    <w:rsid w:val="5E92744D"/>
    <w:rsid w:val="5E960738"/>
    <w:rsid w:val="5E986A32"/>
    <w:rsid w:val="5EA04F5B"/>
    <w:rsid w:val="5EA5318E"/>
    <w:rsid w:val="5EA70098"/>
    <w:rsid w:val="5EAC3900"/>
    <w:rsid w:val="5EAE1426"/>
    <w:rsid w:val="5EB01642"/>
    <w:rsid w:val="5EBF005A"/>
    <w:rsid w:val="5EC073AC"/>
    <w:rsid w:val="5EC63234"/>
    <w:rsid w:val="5EC80EA1"/>
    <w:rsid w:val="5EC923F3"/>
    <w:rsid w:val="5ECE7D1A"/>
    <w:rsid w:val="5ED004CA"/>
    <w:rsid w:val="5ED6097D"/>
    <w:rsid w:val="5ED864A3"/>
    <w:rsid w:val="5EDB45CE"/>
    <w:rsid w:val="5EDF7832"/>
    <w:rsid w:val="5EE017FC"/>
    <w:rsid w:val="5EE708A8"/>
    <w:rsid w:val="5EE72B8A"/>
    <w:rsid w:val="5EEC63F2"/>
    <w:rsid w:val="5EF16CE6"/>
    <w:rsid w:val="5EF32E58"/>
    <w:rsid w:val="5EF57055"/>
    <w:rsid w:val="5EF939CC"/>
    <w:rsid w:val="5F070F35"/>
    <w:rsid w:val="5F0F5EE5"/>
    <w:rsid w:val="5F0F74DD"/>
    <w:rsid w:val="5F1437C9"/>
    <w:rsid w:val="5F152F27"/>
    <w:rsid w:val="5F225970"/>
    <w:rsid w:val="5F2C6992"/>
    <w:rsid w:val="5F3202A9"/>
    <w:rsid w:val="5F3278B9"/>
    <w:rsid w:val="5F351B48"/>
    <w:rsid w:val="5F3538F6"/>
    <w:rsid w:val="5F491058"/>
    <w:rsid w:val="5F5024DD"/>
    <w:rsid w:val="5F506981"/>
    <w:rsid w:val="5F517EDB"/>
    <w:rsid w:val="5F553F98"/>
    <w:rsid w:val="5F577D10"/>
    <w:rsid w:val="5F5F0972"/>
    <w:rsid w:val="5F62734D"/>
    <w:rsid w:val="5F661D01"/>
    <w:rsid w:val="5F667F53"/>
    <w:rsid w:val="5F6A2DB6"/>
    <w:rsid w:val="5F6B7317"/>
    <w:rsid w:val="5F700DD2"/>
    <w:rsid w:val="5F754ED5"/>
    <w:rsid w:val="5F796DF2"/>
    <w:rsid w:val="5F7E7211"/>
    <w:rsid w:val="5F817317"/>
    <w:rsid w:val="5F830B05"/>
    <w:rsid w:val="5F8463D6"/>
    <w:rsid w:val="5F881C77"/>
    <w:rsid w:val="5F904001"/>
    <w:rsid w:val="5F920D48"/>
    <w:rsid w:val="5F93686E"/>
    <w:rsid w:val="5F9527DC"/>
    <w:rsid w:val="5F9550E1"/>
    <w:rsid w:val="5FA665A1"/>
    <w:rsid w:val="5FAB5103"/>
    <w:rsid w:val="5FB011CE"/>
    <w:rsid w:val="5FB138A6"/>
    <w:rsid w:val="5FB50596"/>
    <w:rsid w:val="5FB53202"/>
    <w:rsid w:val="5FC44C79"/>
    <w:rsid w:val="5FCA6734"/>
    <w:rsid w:val="5FDE29CC"/>
    <w:rsid w:val="5FE5356E"/>
    <w:rsid w:val="5FE84E0C"/>
    <w:rsid w:val="5FF217E7"/>
    <w:rsid w:val="5FF35DF4"/>
    <w:rsid w:val="5FF55D06"/>
    <w:rsid w:val="5FF666EA"/>
    <w:rsid w:val="5FF91C7A"/>
    <w:rsid w:val="5FFF5CB2"/>
    <w:rsid w:val="60040858"/>
    <w:rsid w:val="60091ED1"/>
    <w:rsid w:val="600E387B"/>
    <w:rsid w:val="601232AB"/>
    <w:rsid w:val="60221DB4"/>
    <w:rsid w:val="602816AC"/>
    <w:rsid w:val="602B6AA7"/>
    <w:rsid w:val="603040BD"/>
    <w:rsid w:val="60326087"/>
    <w:rsid w:val="603348A0"/>
    <w:rsid w:val="603C0CB4"/>
    <w:rsid w:val="604858AA"/>
    <w:rsid w:val="604A33D1"/>
    <w:rsid w:val="604C7AC2"/>
    <w:rsid w:val="604E1D2F"/>
    <w:rsid w:val="60504485"/>
    <w:rsid w:val="60575AEE"/>
    <w:rsid w:val="605D3104"/>
    <w:rsid w:val="606454D7"/>
    <w:rsid w:val="60673F83"/>
    <w:rsid w:val="606A57E2"/>
    <w:rsid w:val="606A75CF"/>
    <w:rsid w:val="60716BAF"/>
    <w:rsid w:val="607377AF"/>
    <w:rsid w:val="6074165C"/>
    <w:rsid w:val="607448F1"/>
    <w:rsid w:val="60786190"/>
    <w:rsid w:val="607B7A2E"/>
    <w:rsid w:val="607D37A6"/>
    <w:rsid w:val="607E307A"/>
    <w:rsid w:val="60806DF2"/>
    <w:rsid w:val="60810DF2"/>
    <w:rsid w:val="60850FFD"/>
    <w:rsid w:val="60936B26"/>
    <w:rsid w:val="60984306"/>
    <w:rsid w:val="60986A98"/>
    <w:rsid w:val="609D1752"/>
    <w:rsid w:val="60A2320D"/>
    <w:rsid w:val="60A9459B"/>
    <w:rsid w:val="60AC45DE"/>
    <w:rsid w:val="60AC5E39"/>
    <w:rsid w:val="60B33EF9"/>
    <w:rsid w:val="60B66CB8"/>
    <w:rsid w:val="60BB26AF"/>
    <w:rsid w:val="60BB26D1"/>
    <w:rsid w:val="60C018E5"/>
    <w:rsid w:val="60C211B9"/>
    <w:rsid w:val="60C72C73"/>
    <w:rsid w:val="60C82547"/>
    <w:rsid w:val="60CE5DB0"/>
    <w:rsid w:val="60D31618"/>
    <w:rsid w:val="60D32A86"/>
    <w:rsid w:val="60D4713E"/>
    <w:rsid w:val="60DA0D54"/>
    <w:rsid w:val="60DB227B"/>
    <w:rsid w:val="60DB671F"/>
    <w:rsid w:val="60DD74A0"/>
    <w:rsid w:val="60E76E71"/>
    <w:rsid w:val="60EE1FAE"/>
    <w:rsid w:val="60F35816"/>
    <w:rsid w:val="60FB3852"/>
    <w:rsid w:val="61016185"/>
    <w:rsid w:val="610E7D0F"/>
    <w:rsid w:val="612105D5"/>
    <w:rsid w:val="61212F96"/>
    <w:rsid w:val="612401DE"/>
    <w:rsid w:val="612A76A4"/>
    <w:rsid w:val="612D474E"/>
    <w:rsid w:val="61330309"/>
    <w:rsid w:val="61341414"/>
    <w:rsid w:val="613A38C7"/>
    <w:rsid w:val="613A7664"/>
    <w:rsid w:val="613C71BD"/>
    <w:rsid w:val="613E693B"/>
    <w:rsid w:val="613F6CAD"/>
    <w:rsid w:val="61504A17"/>
    <w:rsid w:val="6151253D"/>
    <w:rsid w:val="61554B1B"/>
    <w:rsid w:val="61571006"/>
    <w:rsid w:val="616404C2"/>
    <w:rsid w:val="61695AD8"/>
    <w:rsid w:val="617050B9"/>
    <w:rsid w:val="617821BF"/>
    <w:rsid w:val="61782A37"/>
    <w:rsid w:val="617A7CE6"/>
    <w:rsid w:val="617E34AB"/>
    <w:rsid w:val="617F354E"/>
    <w:rsid w:val="6185675A"/>
    <w:rsid w:val="6189617B"/>
    <w:rsid w:val="618A0ACD"/>
    <w:rsid w:val="618F19E3"/>
    <w:rsid w:val="618F7E29"/>
    <w:rsid w:val="61972646"/>
    <w:rsid w:val="6198016C"/>
    <w:rsid w:val="61996D6A"/>
    <w:rsid w:val="619D5782"/>
    <w:rsid w:val="619E1C26"/>
    <w:rsid w:val="619F150D"/>
    <w:rsid w:val="619F7DC1"/>
    <w:rsid w:val="61AE19EB"/>
    <w:rsid w:val="61B65D83"/>
    <w:rsid w:val="61B66431"/>
    <w:rsid w:val="61BB70A8"/>
    <w:rsid w:val="61BC02FE"/>
    <w:rsid w:val="61BE5E24"/>
    <w:rsid w:val="61BF7DEE"/>
    <w:rsid w:val="61C176C2"/>
    <w:rsid w:val="61C40F61"/>
    <w:rsid w:val="61CD4743"/>
    <w:rsid w:val="61CF3CD4"/>
    <w:rsid w:val="61D05B58"/>
    <w:rsid w:val="61D17E40"/>
    <w:rsid w:val="61D2367E"/>
    <w:rsid w:val="61D338E4"/>
    <w:rsid w:val="61D45648"/>
    <w:rsid w:val="61DC62AA"/>
    <w:rsid w:val="61EE49A3"/>
    <w:rsid w:val="61EF6752"/>
    <w:rsid w:val="61F10EEB"/>
    <w:rsid w:val="61F34CC3"/>
    <w:rsid w:val="61F730E4"/>
    <w:rsid w:val="61F950AE"/>
    <w:rsid w:val="61FE0917"/>
    <w:rsid w:val="620121B5"/>
    <w:rsid w:val="62050267"/>
    <w:rsid w:val="620677CB"/>
    <w:rsid w:val="620D2908"/>
    <w:rsid w:val="62195750"/>
    <w:rsid w:val="621B73F8"/>
    <w:rsid w:val="621C0D9D"/>
    <w:rsid w:val="621C2B4B"/>
    <w:rsid w:val="622814F0"/>
    <w:rsid w:val="622E2086"/>
    <w:rsid w:val="6230634C"/>
    <w:rsid w:val="623205C0"/>
    <w:rsid w:val="62540537"/>
    <w:rsid w:val="625642AF"/>
    <w:rsid w:val="625E13B5"/>
    <w:rsid w:val="62657681"/>
    <w:rsid w:val="626C5880"/>
    <w:rsid w:val="62760EA2"/>
    <w:rsid w:val="627E0573"/>
    <w:rsid w:val="628250A4"/>
    <w:rsid w:val="62852150"/>
    <w:rsid w:val="62856ABA"/>
    <w:rsid w:val="62875B58"/>
    <w:rsid w:val="629D3C8C"/>
    <w:rsid w:val="62A0552A"/>
    <w:rsid w:val="62A25746"/>
    <w:rsid w:val="62A354A9"/>
    <w:rsid w:val="62A4228A"/>
    <w:rsid w:val="62A462B4"/>
    <w:rsid w:val="62A50D92"/>
    <w:rsid w:val="62A5619D"/>
    <w:rsid w:val="62A82630"/>
    <w:rsid w:val="62A96AD4"/>
    <w:rsid w:val="62B114E5"/>
    <w:rsid w:val="62B17737"/>
    <w:rsid w:val="62B24DD3"/>
    <w:rsid w:val="62B36FE1"/>
    <w:rsid w:val="62BB05B6"/>
    <w:rsid w:val="62CC27C3"/>
    <w:rsid w:val="62DD14A5"/>
    <w:rsid w:val="62E53885"/>
    <w:rsid w:val="62EA5482"/>
    <w:rsid w:val="62ED0065"/>
    <w:rsid w:val="62EE2739"/>
    <w:rsid w:val="62F53AC8"/>
    <w:rsid w:val="62FB116F"/>
    <w:rsid w:val="62FC26C4"/>
    <w:rsid w:val="63021F4D"/>
    <w:rsid w:val="63052F76"/>
    <w:rsid w:val="63107308"/>
    <w:rsid w:val="63141A74"/>
    <w:rsid w:val="63142CE4"/>
    <w:rsid w:val="631657EC"/>
    <w:rsid w:val="63181564"/>
    <w:rsid w:val="632048BD"/>
    <w:rsid w:val="632F295A"/>
    <w:rsid w:val="63304B00"/>
    <w:rsid w:val="63312626"/>
    <w:rsid w:val="63387E58"/>
    <w:rsid w:val="63392FDC"/>
    <w:rsid w:val="633B162F"/>
    <w:rsid w:val="633B34A5"/>
    <w:rsid w:val="633F1C36"/>
    <w:rsid w:val="633F7682"/>
    <w:rsid w:val="63414F5F"/>
    <w:rsid w:val="63424833"/>
    <w:rsid w:val="634E31D8"/>
    <w:rsid w:val="635260E5"/>
    <w:rsid w:val="635446E0"/>
    <w:rsid w:val="63584057"/>
    <w:rsid w:val="635A1602"/>
    <w:rsid w:val="63657B08"/>
    <w:rsid w:val="63676048"/>
    <w:rsid w:val="636C048B"/>
    <w:rsid w:val="636E5B17"/>
    <w:rsid w:val="63722436"/>
    <w:rsid w:val="637349EC"/>
    <w:rsid w:val="637B1AF3"/>
    <w:rsid w:val="637E06AE"/>
    <w:rsid w:val="638257FD"/>
    <w:rsid w:val="6388493C"/>
    <w:rsid w:val="638C6C71"/>
    <w:rsid w:val="63901A42"/>
    <w:rsid w:val="639317F7"/>
    <w:rsid w:val="63980EF1"/>
    <w:rsid w:val="639D7EB8"/>
    <w:rsid w:val="639F1C85"/>
    <w:rsid w:val="63A06753"/>
    <w:rsid w:val="63A23524"/>
    <w:rsid w:val="63AC7EFE"/>
    <w:rsid w:val="63B079EF"/>
    <w:rsid w:val="63C616CA"/>
    <w:rsid w:val="63C811DC"/>
    <w:rsid w:val="63D556A7"/>
    <w:rsid w:val="63D57455"/>
    <w:rsid w:val="63E853DA"/>
    <w:rsid w:val="63EA3D72"/>
    <w:rsid w:val="63F30DFC"/>
    <w:rsid w:val="63F91396"/>
    <w:rsid w:val="63FF2724"/>
    <w:rsid w:val="640204AC"/>
    <w:rsid w:val="640328FE"/>
    <w:rsid w:val="64061D04"/>
    <w:rsid w:val="640A0C82"/>
    <w:rsid w:val="640E7EF8"/>
    <w:rsid w:val="640F014D"/>
    <w:rsid w:val="64137F7D"/>
    <w:rsid w:val="641461CF"/>
    <w:rsid w:val="6417181C"/>
    <w:rsid w:val="64202DC6"/>
    <w:rsid w:val="64216B3E"/>
    <w:rsid w:val="64283A29"/>
    <w:rsid w:val="642B4E06"/>
    <w:rsid w:val="64306D81"/>
    <w:rsid w:val="64384AB3"/>
    <w:rsid w:val="6439020E"/>
    <w:rsid w:val="643B31CD"/>
    <w:rsid w:val="64406FC4"/>
    <w:rsid w:val="64414AEB"/>
    <w:rsid w:val="6446548B"/>
    <w:rsid w:val="644665A5"/>
    <w:rsid w:val="64587ED2"/>
    <w:rsid w:val="64630F05"/>
    <w:rsid w:val="64634D2A"/>
    <w:rsid w:val="646B27D7"/>
    <w:rsid w:val="64721683"/>
    <w:rsid w:val="647A43A8"/>
    <w:rsid w:val="647F283D"/>
    <w:rsid w:val="64850E7B"/>
    <w:rsid w:val="64856D4B"/>
    <w:rsid w:val="6486098F"/>
    <w:rsid w:val="64886F3B"/>
    <w:rsid w:val="648A6492"/>
    <w:rsid w:val="64923598"/>
    <w:rsid w:val="64927FD7"/>
    <w:rsid w:val="64947310"/>
    <w:rsid w:val="64A10EA3"/>
    <w:rsid w:val="64A62BA0"/>
    <w:rsid w:val="64A84E4C"/>
    <w:rsid w:val="64AD100A"/>
    <w:rsid w:val="64B27796"/>
    <w:rsid w:val="64B452BD"/>
    <w:rsid w:val="64B74DAD"/>
    <w:rsid w:val="64B81251"/>
    <w:rsid w:val="64B94BD5"/>
    <w:rsid w:val="64BD0615"/>
    <w:rsid w:val="64BE25DF"/>
    <w:rsid w:val="64C10293"/>
    <w:rsid w:val="64CA0F84"/>
    <w:rsid w:val="64CD4A1B"/>
    <w:rsid w:val="64D10970"/>
    <w:rsid w:val="64D12F24"/>
    <w:rsid w:val="64D140C0"/>
    <w:rsid w:val="64E9111A"/>
    <w:rsid w:val="64F102BF"/>
    <w:rsid w:val="64F74416"/>
    <w:rsid w:val="64F8164D"/>
    <w:rsid w:val="64FB113D"/>
    <w:rsid w:val="64FB2EEB"/>
    <w:rsid w:val="65006754"/>
    <w:rsid w:val="6502071E"/>
    <w:rsid w:val="65071890"/>
    <w:rsid w:val="65075D34"/>
    <w:rsid w:val="65080845"/>
    <w:rsid w:val="6508170D"/>
    <w:rsid w:val="65087EDB"/>
    <w:rsid w:val="6509385A"/>
    <w:rsid w:val="65093EA2"/>
    <w:rsid w:val="650C50F9"/>
    <w:rsid w:val="65103C97"/>
    <w:rsid w:val="651E5F9E"/>
    <w:rsid w:val="651E6BDA"/>
    <w:rsid w:val="651F214B"/>
    <w:rsid w:val="65205F54"/>
    <w:rsid w:val="65297A59"/>
    <w:rsid w:val="652F0DE7"/>
    <w:rsid w:val="653528A1"/>
    <w:rsid w:val="65365D4D"/>
    <w:rsid w:val="65372C0E"/>
    <w:rsid w:val="65374B33"/>
    <w:rsid w:val="65387C9C"/>
    <w:rsid w:val="65424FBE"/>
    <w:rsid w:val="65432D75"/>
    <w:rsid w:val="65483971"/>
    <w:rsid w:val="654F4FE5"/>
    <w:rsid w:val="65501489"/>
    <w:rsid w:val="65530F79"/>
    <w:rsid w:val="65586590"/>
    <w:rsid w:val="655A40B6"/>
    <w:rsid w:val="65605444"/>
    <w:rsid w:val="6562740E"/>
    <w:rsid w:val="65646CE3"/>
    <w:rsid w:val="65652A5B"/>
    <w:rsid w:val="65653CBD"/>
    <w:rsid w:val="656904A4"/>
    <w:rsid w:val="656942F9"/>
    <w:rsid w:val="656C203B"/>
    <w:rsid w:val="656C5B97"/>
    <w:rsid w:val="6570090F"/>
    <w:rsid w:val="65726E5F"/>
    <w:rsid w:val="65735178"/>
    <w:rsid w:val="657703F0"/>
    <w:rsid w:val="65795F18"/>
    <w:rsid w:val="657D1B52"/>
    <w:rsid w:val="657D218D"/>
    <w:rsid w:val="65827169"/>
    <w:rsid w:val="658D448B"/>
    <w:rsid w:val="65941240"/>
    <w:rsid w:val="65984BDE"/>
    <w:rsid w:val="659A2704"/>
    <w:rsid w:val="659B710B"/>
    <w:rsid w:val="659D21F5"/>
    <w:rsid w:val="659D3FA3"/>
    <w:rsid w:val="65A062B5"/>
    <w:rsid w:val="65C15EE3"/>
    <w:rsid w:val="65C43C25"/>
    <w:rsid w:val="65C9123C"/>
    <w:rsid w:val="65CB6D62"/>
    <w:rsid w:val="65D5198E"/>
    <w:rsid w:val="65E676F8"/>
    <w:rsid w:val="65E87914"/>
    <w:rsid w:val="65EB64A0"/>
    <w:rsid w:val="65F8567D"/>
    <w:rsid w:val="65FA3B38"/>
    <w:rsid w:val="660364FC"/>
    <w:rsid w:val="660378CF"/>
    <w:rsid w:val="66065FEC"/>
    <w:rsid w:val="66081D64"/>
    <w:rsid w:val="660833E1"/>
    <w:rsid w:val="66090981"/>
    <w:rsid w:val="660F4853"/>
    <w:rsid w:val="66133630"/>
    <w:rsid w:val="66150DED"/>
    <w:rsid w:val="661A3845"/>
    <w:rsid w:val="66225FFB"/>
    <w:rsid w:val="66287972"/>
    <w:rsid w:val="66295856"/>
    <w:rsid w:val="662C209E"/>
    <w:rsid w:val="662D1E0E"/>
    <w:rsid w:val="662D3578"/>
    <w:rsid w:val="663C37BC"/>
    <w:rsid w:val="663F67A7"/>
    <w:rsid w:val="66482160"/>
    <w:rsid w:val="664839B0"/>
    <w:rsid w:val="66486604"/>
    <w:rsid w:val="664A62D0"/>
    <w:rsid w:val="66540B05"/>
    <w:rsid w:val="66550DA9"/>
    <w:rsid w:val="6655487D"/>
    <w:rsid w:val="665B6338"/>
    <w:rsid w:val="665F3501"/>
    <w:rsid w:val="666168D9"/>
    <w:rsid w:val="66652D12"/>
    <w:rsid w:val="66667550"/>
    <w:rsid w:val="6668344C"/>
    <w:rsid w:val="666A657B"/>
    <w:rsid w:val="66721EAE"/>
    <w:rsid w:val="667473F9"/>
    <w:rsid w:val="6677281C"/>
    <w:rsid w:val="66785AB1"/>
    <w:rsid w:val="66794A10"/>
    <w:rsid w:val="667A3A13"/>
    <w:rsid w:val="667B2536"/>
    <w:rsid w:val="667C62AE"/>
    <w:rsid w:val="66846F11"/>
    <w:rsid w:val="6689498C"/>
    <w:rsid w:val="668F7D8F"/>
    <w:rsid w:val="66916B74"/>
    <w:rsid w:val="66953C51"/>
    <w:rsid w:val="66996E60"/>
    <w:rsid w:val="669C06FE"/>
    <w:rsid w:val="669D134A"/>
    <w:rsid w:val="66AF44F9"/>
    <w:rsid w:val="66B143D8"/>
    <w:rsid w:val="66B43C9A"/>
    <w:rsid w:val="66B45A48"/>
    <w:rsid w:val="66B6356E"/>
    <w:rsid w:val="66BC48FC"/>
    <w:rsid w:val="66BD7C6C"/>
    <w:rsid w:val="66BE2423"/>
    <w:rsid w:val="66C13CC1"/>
    <w:rsid w:val="66C5471D"/>
    <w:rsid w:val="66C81968"/>
    <w:rsid w:val="66C96726"/>
    <w:rsid w:val="66CB6D83"/>
    <w:rsid w:val="66CC0FE3"/>
    <w:rsid w:val="66CD2666"/>
    <w:rsid w:val="66CE2DDD"/>
    <w:rsid w:val="66D507B6"/>
    <w:rsid w:val="66D527B3"/>
    <w:rsid w:val="66D659BE"/>
    <w:rsid w:val="66D6776C"/>
    <w:rsid w:val="66DC0AFB"/>
    <w:rsid w:val="66DC7853"/>
    <w:rsid w:val="66E63727"/>
    <w:rsid w:val="66E8749F"/>
    <w:rsid w:val="66E9A7CB"/>
    <w:rsid w:val="66EC3434"/>
    <w:rsid w:val="66F347C2"/>
    <w:rsid w:val="66F40D3F"/>
    <w:rsid w:val="66FE4F15"/>
    <w:rsid w:val="670955AD"/>
    <w:rsid w:val="670C7632"/>
    <w:rsid w:val="6723497B"/>
    <w:rsid w:val="672B6A08"/>
    <w:rsid w:val="6730115F"/>
    <w:rsid w:val="67362901"/>
    <w:rsid w:val="6736645D"/>
    <w:rsid w:val="67392596"/>
    <w:rsid w:val="673D3C8F"/>
    <w:rsid w:val="673D77EB"/>
    <w:rsid w:val="673F17B5"/>
    <w:rsid w:val="67492634"/>
    <w:rsid w:val="674F751F"/>
    <w:rsid w:val="67513297"/>
    <w:rsid w:val="67584625"/>
    <w:rsid w:val="6759214B"/>
    <w:rsid w:val="67622081"/>
    <w:rsid w:val="67654F94"/>
    <w:rsid w:val="67656D42"/>
    <w:rsid w:val="67695A94"/>
    <w:rsid w:val="6769784B"/>
    <w:rsid w:val="677A4672"/>
    <w:rsid w:val="677B0314"/>
    <w:rsid w:val="677D5E3A"/>
    <w:rsid w:val="67825B46"/>
    <w:rsid w:val="6786119B"/>
    <w:rsid w:val="67892A30"/>
    <w:rsid w:val="678E6299"/>
    <w:rsid w:val="67942400"/>
    <w:rsid w:val="67A36FC6"/>
    <w:rsid w:val="67A4562D"/>
    <w:rsid w:val="67AC3FCD"/>
    <w:rsid w:val="67B26072"/>
    <w:rsid w:val="67BF4B68"/>
    <w:rsid w:val="67C14928"/>
    <w:rsid w:val="67C779FD"/>
    <w:rsid w:val="67CA1AA5"/>
    <w:rsid w:val="67D143D7"/>
    <w:rsid w:val="67D63CD4"/>
    <w:rsid w:val="67E91721"/>
    <w:rsid w:val="67EB36EB"/>
    <w:rsid w:val="67EE2CFC"/>
    <w:rsid w:val="67F00D02"/>
    <w:rsid w:val="67F56318"/>
    <w:rsid w:val="67F81964"/>
    <w:rsid w:val="67FB3202"/>
    <w:rsid w:val="68060525"/>
    <w:rsid w:val="680A693C"/>
    <w:rsid w:val="680D3662"/>
    <w:rsid w:val="6811269B"/>
    <w:rsid w:val="682D3D04"/>
    <w:rsid w:val="682E182A"/>
    <w:rsid w:val="683926A8"/>
    <w:rsid w:val="68394457"/>
    <w:rsid w:val="683D70BD"/>
    <w:rsid w:val="68455B2B"/>
    <w:rsid w:val="684B23DC"/>
    <w:rsid w:val="684E77D6"/>
    <w:rsid w:val="68504261"/>
    <w:rsid w:val="685B53D9"/>
    <w:rsid w:val="68646FFA"/>
    <w:rsid w:val="686B0388"/>
    <w:rsid w:val="686F60CA"/>
    <w:rsid w:val="68701E42"/>
    <w:rsid w:val="68784853"/>
    <w:rsid w:val="687A681D"/>
    <w:rsid w:val="687C07E7"/>
    <w:rsid w:val="687E455F"/>
    <w:rsid w:val="68813956"/>
    <w:rsid w:val="68863414"/>
    <w:rsid w:val="688A2F04"/>
    <w:rsid w:val="688E4077"/>
    <w:rsid w:val="68907DEF"/>
    <w:rsid w:val="68935F9E"/>
    <w:rsid w:val="689773CF"/>
    <w:rsid w:val="68A33FC6"/>
    <w:rsid w:val="68A5389A"/>
    <w:rsid w:val="68AC37F1"/>
    <w:rsid w:val="68B735CD"/>
    <w:rsid w:val="68BA4E6C"/>
    <w:rsid w:val="68BC6E36"/>
    <w:rsid w:val="68BD2B6A"/>
    <w:rsid w:val="68BE495C"/>
    <w:rsid w:val="68BF5BD7"/>
    <w:rsid w:val="68C31F72"/>
    <w:rsid w:val="68C33D20"/>
    <w:rsid w:val="68C41F0A"/>
    <w:rsid w:val="68C53DC8"/>
    <w:rsid w:val="68C53F3C"/>
    <w:rsid w:val="68C656C1"/>
    <w:rsid w:val="68CD14B1"/>
    <w:rsid w:val="68CD4B9F"/>
    <w:rsid w:val="68D522CA"/>
    <w:rsid w:val="68D91796"/>
    <w:rsid w:val="68E1064A"/>
    <w:rsid w:val="68E85E7D"/>
    <w:rsid w:val="68EA5751"/>
    <w:rsid w:val="68ED6FEF"/>
    <w:rsid w:val="68F000CD"/>
    <w:rsid w:val="68FC7232"/>
    <w:rsid w:val="68FE11FC"/>
    <w:rsid w:val="68FE6B1D"/>
    <w:rsid w:val="68FE744E"/>
    <w:rsid w:val="69052023"/>
    <w:rsid w:val="69074555"/>
    <w:rsid w:val="690C28BC"/>
    <w:rsid w:val="69132EFA"/>
    <w:rsid w:val="69194288"/>
    <w:rsid w:val="6924742D"/>
    <w:rsid w:val="69280027"/>
    <w:rsid w:val="692C7B17"/>
    <w:rsid w:val="692D1AE1"/>
    <w:rsid w:val="69313380"/>
    <w:rsid w:val="693255A0"/>
    <w:rsid w:val="69342E70"/>
    <w:rsid w:val="69366BE8"/>
    <w:rsid w:val="693C5C0C"/>
    <w:rsid w:val="693D73E5"/>
    <w:rsid w:val="69407A67"/>
    <w:rsid w:val="69431305"/>
    <w:rsid w:val="694D189B"/>
    <w:rsid w:val="694D51B6"/>
    <w:rsid w:val="69512ECC"/>
    <w:rsid w:val="69513A22"/>
    <w:rsid w:val="695168DC"/>
    <w:rsid w:val="69564B94"/>
    <w:rsid w:val="695A0B28"/>
    <w:rsid w:val="695B664F"/>
    <w:rsid w:val="69601EB7"/>
    <w:rsid w:val="69614EB7"/>
    <w:rsid w:val="69687C0D"/>
    <w:rsid w:val="696C43B8"/>
    <w:rsid w:val="696D1EDE"/>
    <w:rsid w:val="69796AD5"/>
    <w:rsid w:val="697D0373"/>
    <w:rsid w:val="698060B5"/>
    <w:rsid w:val="698268C4"/>
    <w:rsid w:val="698A0CE2"/>
    <w:rsid w:val="69921136"/>
    <w:rsid w:val="69961435"/>
    <w:rsid w:val="69967687"/>
    <w:rsid w:val="699713B5"/>
    <w:rsid w:val="6997142E"/>
    <w:rsid w:val="699B6A4B"/>
    <w:rsid w:val="699F29DF"/>
    <w:rsid w:val="69A41DA4"/>
    <w:rsid w:val="69A43B52"/>
    <w:rsid w:val="69A877A1"/>
    <w:rsid w:val="69AE49D0"/>
    <w:rsid w:val="69B17340"/>
    <w:rsid w:val="69B30284"/>
    <w:rsid w:val="69B875FD"/>
    <w:rsid w:val="69B907B4"/>
    <w:rsid w:val="69BA3375"/>
    <w:rsid w:val="69C45FA2"/>
    <w:rsid w:val="69CA10DE"/>
    <w:rsid w:val="69CA7330"/>
    <w:rsid w:val="69CE0992"/>
    <w:rsid w:val="69CF39B0"/>
    <w:rsid w:val="69D50822"/>
    <w:rsid w:val="69D72179"/>
    <w:rsid w:val="69DA7573"/>
    <w:rsid w:val="69EB79D2"/>
    <w:rsid w:val="69EE1271"/>
    <w:rsid w:val="69EE301F"/>
    <w:rsid w:val="69F25EF5"/>
    <w:rsid w:val="69F43C2A"/>
    <w:rsid w:val="69F525FF"/>
    <w:rsid w:val="69FD3262"/>
    <w:rsid w:val="6A03035A"/>
    <w:rsid w:val="6A097E59"/>
    <w:rsid w:val="6A10568B"/>
    <w:rsid w:val="6A162576"/>
    <w:rsid w:val="6A170BA1"/>
    <w:rsid w:val="6A193C9B"/>
    <w:rsid w:val="6A1A02B8"/>
    <w:rsid w:val="6A1A3E14"/>
    <w:rsid w:val="6A1D3904"/>
    <w:rsid w:val="6A1F4A78"/>
    <w:rsid w:val="6A1F6F1B"/>
    <w:rsid w:val="6A220F1A"/>
    <w:rsid w:val="6A226DB8"/>
    <w:rsid w:val="6A2E6D00"/>
    <w:rsid w:val="6A31115D"/>
    <w:rsid w:val="6A3824EC"/>
    <w:rsid w:val="6A4964A7"/>
    <w:rsid w:val="6A505627"/>
    <w:rsid w:val="6A58493C"/>
    <w:rsid w:val="6A5A6906"/>
    <w:rsid w:val="6A600735"/>
    <w:rsid w:val="6A6432E1"/>
    <w:rsid w:val="6A6652AB"/>
    <w:rsid w:val="6A666AAA"/>
    <w:rsid w:val="6A667059"/>
    <w:rsid w:val="6A6C489D"/>
    <w:rsid w:val="6A6D3445"/>
    <w:rsid w:val="6A7C1D67"/>
    <w:rsid w:val="6A8103B0"/>
    <w:rsid w:val="6A813E93"/>
    <w:rsid w:val="6A82548E"/>
    <w:rsid w:val="6A835E5D"/>
    <w:rsid w:val="6A837AC4"/>
    <w:rsid w:val="6A845E57"/>
    <w:rsid w:val="6A957AFF"/>
    <w:rsid w:val="6AA14535"/>
    <w:rsid w:val="6AAB68A3"/>
    <w:rsid w:val="6AAF5D4D"/>
    <w:rsid w:val="6AB0474F"/>
    <w:rsid w:val="6AB75B07"/>
    <w:rsid w:val="6ABC5A03"/>
    <w:rsid w:val="6AC12236"/>
    <w:rsid w:val="6AC23CCD"/>
    <w:rsid w:val="6AC50223"/>
    <w:rsid w:val="6ACD532A"/>
    <w:rsid w:val="6AD9782B"/>
    <w:rsid w:val="6ADE12E5"/>
    <w:rsid w:val="6ADF6E0B"/>
    <w:rsid w:val="6AE14931"/>
    <w:rsid w:val="6AE34B4E"/>
    <w:rsid w:val="6AE52674"/>
    <w:rsid w:val="6AEF704E"/>
    <w:rsid w:val="6AF01018"/>
    <w:rsid w:val="6AF02DC7"/>
    <w:rsid w:val="6AF3036F"/>
    <w:rsid w:val="6AF503DD"/>
    <w:rsid w:val="6AF724BD"/>
    <w:rsid w:val="6AFC176B"/>
    <w:rsid w:val="6B032AFA"/>
    <w:rsid w:val="6B170353"/>
    <w:rsid w:val="6B1C73DE"/>
    <w:rsid w:val="6B2667E8"/>
    <w:rsid w:val="6B266D5B"/>
    <w:rsid w:val="6B2B3CE9"/>
    <w:rsid w:val="6B2F2231"/>
    <w:rsid w:val="6B301415"/>
    <w:rsid w:val="6B322090"/>
    <w:rsid w:val="6B360F09"/>
    <w:rsid w:val="6B361121"/>
    <w:rsid w:val="6B376C47"/>
    <w:rsid w:val="6B3D5B12"/>
    <w:rsid w:val="6B3D754F"/>
    <w:rsid w:val="6B4078AA"/>
    <w:rsid w:val="6B46117C"/>
    <w:rsid w:val="6B4E1A39"/>
    <w:rsid w:val="6B517D09"/>
    <w:rsid w:val="6B540559"/>
    <w:rsid w:val="6B55498D"/>
    <w:rsid w:val="6B5670CE"/>
    <w:rsid w:val="6B5B0B88"/>
    <w:rsid w:val="6B5D66AE"/>
    <w:rsid w:val="6B5E35D0"/>
    <w:rsid w:val="6B625A72"/>
    <w:rsid w:val="6B637FDF"/>
    <w:rsid w:val="6B7A68E6"/>
    <w:rsid w:val="6B7B6B34"/>
    <w:rsid w:val="6B7D6019"/>
    <w:rsid w:val="6B7E4876"/>
    <w:rsid w:val="6B8359E9"/>
    <w:rsid w:val="6B855157"/>
    <w:rsid w:val="6B8949AE"/>
    <w:rsid w:val="6B8A4FC9"/>
    <w:rsid w:val="6B9A00B8"/>
    <w:rsid w:val="6BA039EB"/>
    <w:rsid w:val="6BA31452"/>
    <w:rsid w:val="6BA8544F"/>
    <w:rsid w:val="6BA92994"/>
    <w:rsid w:val="6BAB0B17"/>
    <w:rsid w:val="6BAC4F3F"/>
    <w:rsid w:val="6BAC75D4"/>
    <w:rsid w:val="6BB31849"/>
    <w:rsid w:val="6BB65280"/>
    <w:rsid w:val="6BBD0EFB"/>
    <w:rsid w:val="6BC25F67"/>
    <w:rsid w:val="6BDE3257"/>
    <w:rsid w:val="6BE20961"/>
    <w:rsid w:val="6BE653D7"/>
    <w:rsid w:val="6BEE5558"/>
    <w:rsid w:val="6BF41C3E"/>
    <w:rsid w:val="6C011F7A"/>
    <w:rsid w:val="6C0A7EB8"/>
    <w:rsid w:val="6C0E11EB"/>
    <w:rsid w:val="6C0F54CE"/>
    <w:rsid w:val="6C111246"/>
    <w:rsid w:val="6C132CAA"/>
    <w:rsid w:val="6C180827"/>
    <w:rsid w:val="6C1D7BEB"/>
    <w:rsid w:val="6C296590"/>
    <w:rsid w:val="6C2B055A"/>
    <w:rsid w:val="6C2C0856"/>
    <w:rsid w:val="6C310410"/>
    <w:rsid w:val="6C313697"/>
    <w:rsid w:val="6C384A25"/>
    <w:rsid w:val="6C3B30A4"/>
    <w:rsid w:val="6C417D7E"/>
    <w:rsid w:val="6C4E5FF7"/>
    <w:rsid w:val="6C515AE7"/>
    <w:rsid w:val="6C517895"/>
    <w:rsid w:val="6C532952"/>
    <w:rsid w:val="6C5C46D7"/>
    <w:rsid w:val="6C5E5AB6"/>
    <w:rsid w:val="6C614068"/>
    <w:rsid w:val="6C705F6D"/>
    <w:rsid w:val="6C727F37"/>
    <w:rsid w:val="6C757A27"/>
    <w:rsid w:val="6C81017A"/>
    <w:rsid w:val="6C905899"/>
    <w:rsid w:val="6C9302AB"/>
    <w:rsid w:val="6C9360FF"/>
    <w:rsid w:val="6CA16A6E"/>
    <w:rsid w:val="6CB71DEE"/>
    <w:rsid w:val="6CB73B9C"/>
    <w:rsid w:val="6CC22541"/>
    <w:rsid w:val="6CC35FD1"/>
    <w:rsid w:val="6CC462B9"/>
    <w:rsid w:val="6CC664D5"/>
    <w:rsid w:val="6CCE0EE6"/>
    <w:rsid w:val="6CD3474E"/>
    <w:rsid w:val="6CD9461F"/>
    <w:rsid w:val="6CDC3602"/>
    <w:rsid w:val="6CDC68A8"/>
    <w:rsid w:val="6CDD1263"/>
    <w:rsid w:val="6CDF30F3"/>
    <w:rsid w:val="6CE150BD"/>
    <w:rsid w:val="6CE63606"/>
    <w:rsid w:val="6CE71499"/>
    <w:rsid w:val="6CF44DF0"/>
    <w:rsid w:val="6CF92406"/>
    <w:rsid w:val="6CF941B4"/>
    <w:rsid w:val="6D00733F"/>
    <w:rsid w:val="6D06067F"/>
    <w:rsid w:val="6D0A6532"/>
    <w:rsid w:val="6D0B577B"/>
    <w:rsid w:val="6D1159A2"/>
    <w:rsid w:val="6D1376A5"/>
    <w:rsid w:val="6D156B14"/>
    <w:rsid w:val="6D162FB8"/>
    <w:rsid w:val="6D170ADE"/>
    <w:rsid w:val="6D1D7B1F"/>
    <w:rsid w:val="6D2D3E5E"/>
    <w:rsid w:val="6D361187"/>
    <w:rsid w:val="6D3B7FF5"/>
    <w:rsid w:val="6D41273C"/>
    <w:rsid w:val="6D437B25"/>
    <w:rsid w:val="6D4573FA"/>
    <w:rsid w:val="6D4816F1"/>
    <w:rsid w:val="6D4A2C62"/>
    <w:rsid w:val="6D4D3F32"/>
    <w:rsid w:val="6D527835"/>
    <w:rsid w:val="6D543AE1"/>
    <w:rsid w:val="6D633D24"/>
    <w:rsid w:val="6D6A0A5D"/>
    <w:rsid w:val="6D6C2BD8"/>
    <w:rsid w:val="6D6E5FA3"/>
    <w:rsid w:val="6D725D15"/>
    <w:rsid w:val="6D765805"/>
    <w:rsid w:val="6D790A48"/>
    <w:rsid w:val="6D7B582F"/>
    <w:rsid w:val="6D8C5028"/>
    <w:rsid w:val="6D8E77CA"/>
    <w:rsid w:val="6D901BC6"/>
    <w:rsid w:val="6DA46721"/>
    <w:rsid w:val="6DAA3701"/>
    <w:rsid w:val="6DAA54AF"/>
    <w:rsid w:val="6DB01D12"/>
    <w:rsid w:val="6DB620A5"/>
    <w:rsid w:val="6DC26C9C"/>
    <w:rsid w:val="6DCA3DA3"/>
    <w:rsid w:val="6DD715C9"/>
    <w:rsid w:val="6DD74A74"/>
    <w:rsid w:val="6DD864C0"/>
    <w:rsid w:val="6DD938ED"/>
    <w:rsid w:val="6DD93FE6"/>
    <w:rsid w:val="6DDB216F"/>
    <w:rsid w:val="6DE76703"/>
    <w:rsid w:val="6DE831EE"/>
    <w:rsid w:val="6DE94229"/>
    <w:rsid w:val="6DE94C45"/>
    <w:rsid w:val="6DEA61F3"/>
    <w:rsid w:val="6DEB6FB6"/>
    <w:rsid w:val="6DEC1F6B"/>
    <w:rsid w:val="6DF332FA"/>
    <w:rsid w:val="6DFC5FDF"/>
    <w:rsid w:val="6E094B9D"/>
    <w:rsid w:val="6E0A419F"/>
    <w:rsid w:val="6E0B0643"/>
    <w:rsid w:val="6E116B14"/>
    <w:rsid w:val="6E1707A3"/>
    <w:rsid w:val="6E184B0E"/>
    <w:rsid w:val="6E1A349B"/>
    <w:rsid w:val="6E1F40EF"/>
    <w:rsid w:val="6E252475"/>
    <w:rsid w:val="6E3000AA"/>
    <w:rsid w:val="6E3A4A84"/>
    <w:rsid w:val="6E44155B"/>
    <w:rsid w:val="6E4711FB"/>
    <w:rsid w:val="6E4771A1"/>
    <w:rsid w:val="6E49116B"/>
    <w:rsid w:val="6E4B6C92"/>
    <w:rsid w:val="6E5673E4"/>
    <w:rsid w:val="6E5C0E9F"/>
    <w:rsid w:val="6E5F098F"/>
    <w:rsid w:val="6E6C1411"/>
    <w:rsid w:val="6E7004A6"/>
    <w:rsid w:val="6E751F61"/>
    <w:rsid w:val="6E7942B1"/>
    <w:rsid w:val="6E7B182B"/>
    <w:rsid w:val="6E7B3BFD"/>
    <w:rsid w:val="6E7D7067"/>
    <w:rsid w:val="6E8653F3"/>
    <w:rsid w:val="6E881C94"/>
    <w:rsid w:val="6E8B3532"/>
    <w:rsid w:val="6E8C25B0"/>
    <w:rsid w:val="6E970129"/>
    <w:rsid w:val="6E9879FD"/>
    <w:rsid w:val="6E9C129B"/>
    <w:rsid w:val="6EA14A8D"/>
    <w:rsid w:val="6EA97E5C"/>
    <w:rsid w:val="6EAD34A8"/>
    <w:rsid w:val="6EAE7221"/>
    <w:rsid w:val="6EB04D47"/>
    <w:rsid w:val="6EB403FF"/>
    <w:rsid w:val="6EBA3E17"/>
    <w:rsid w:val="6EBD56FB"/>
    <w:rsid w:val="6EBD74B2"/>
    <w:rsid w:val="6EBE56B6"/>
    <w:rsid w:val="6EBF4F8A"/>
    <w:rsid w:val="6ED0363B"/>
    <w:rsid w:val="6EDC3D8E"/>
    <w:rsid w:val="6EDF73DA"/>
    <w:rsid w:val="6EDF77A7"/>
    <w:rsid w:val="6EE36ECA"/>
    <w:rsid w:val="6EEA46FD"/>
    <w:rsid w:val="6EED1AF7"/>
    <w:rsid w:val="6EF32E85"/>
    <w:rsid w:val="6F052DEB"/>
    <w:rsid w:val="6F082DD5"/>
    <w:rsid w:val="6F116144"/>
    <w:rsid w:val="6F15791B"/>
    <w:rsid w:val="6F161142"/>
    <w:rsid w:val="6F174DC6"/>
    <w:rsid w:val="6F20011E"/>
    <w:rsid w:val="6F20592F"/>
    <w:rsid w:val="6F23376B"/>
    <w:rsid w:val="6F234BFA"/>
    <w:rsid w:val="6F2614AD"/>
    <w:rsid w:val="6F2F0361"/>
    <w:rsid w:val="6F334B2E"/>
    <w:rsid w:val="6F35672D"/>
    <w:rsid w:val="6F3B409C"/>
    <w:rsid w:val="6F3B6D58"/>
    <w:rsid w:val="6F3E67F6"/>
    <w:rsid w:val="6F4831D1"/>
    <w:rsid w:val="6F4B2CC1"/>
    <w:rsid w:val="6F4F27B2"/>
    <w:rsid w:val="6F51262A"/>
    <w:rsid w:val="6F593630"/>
    <w:rsid w:val="6F59718C"/>
    <w:rsid w:val="6F5E2E88"/>
    <w:rsid w:val="6F6408A2"/>
    <w:rsid w:val="6F6A75EB"/>
    <w:rsid w:val="6F71097A"/>
    <w:rsid w:val="6F751AEC"/>
    <w:rsid w:val="6F767D3E"/>
    <w:rsid w:val="6F771D08"/>
    <w:rsid w:val="6F7B5355"/>
    <w:rsid w:val="6F7C314E"/>
    <w:rsid w:val="6F80136B"/>
    <w:rsid w:val="6F814935"/>
    <w:rsid w:val="6F8B1310"/>
    <w:rsid w:val="6F8C57B4"/>
    <w:rsid w:val="6F8F6EFC"/>
    <w:rsid w:val="6F9208F0"/>
    <w:rsid w:val="6F9A6EB1"/>
    <w:rsid w:val="6F9C52CB"/>
    <w:rsid w:val="6FA348AB"/>
    <w:rsid w:val="6FA4155F"/>
    <w:rsid w:val="6FAA2324"/>
    <w:rsid w:val="6FB1521A"/>
    <w:rsid w:val="6FB34BE2"/>
    <w:rsid w:val="6FB97C2B"/>
    <w:rsid w:val="6FBB39A3"/>
    <w:rsid w:val="6FBE3493"/>
    <w:rsid w:val="6FC84312"/>
    <w:rsid w:val="6FCA008A"/>
    <w:rsid w:val="6FCE7B7A"/>
    <w:rsid w:val="6FCF4BBA"/>
    <w:rsid w:val="6FD248BA"/>
    <w:rsid w:val="6FD35191"/>
    <w:rsid w:val="6FD46012"/>
    <w:rsid w:val="6FD76303"/>
    <w:rsid w:val="6FD902CD"/>
    <w:rsid w:val="6FD9651F"/>
    <w:rsid w:val="6FDC1B6B"/>
    <w:rsid w:val="6FDC595C"/>
    <w:rsid w:val="6FE078AE"/>
    <w:rsid w:val="6FE84395"/>
    <w:rsid w:val="6FEA24DA"/>
    <w:rsid w:val="6FEC240C"/>
    <w:rsid w:val="6FEE1FCA"/>
    <w:rsid w:val="6FF11ABB"/>
    <w:rsid w:val="6FF43359"/>
    <w:rsid w:val="6FF45107"/>
    <w:rsid w:val="6FF83789"/>
    <w:rsid w:val="6FFD220E"/>
    <w:rsid w:val="70001486"/>
    <w:rsid w:val="70003AAC"/>
    <w:rsid w:val="700510C2"/>
    <w:rsid w:val="70052E70"/>
    <w:rsid w:val="70057314"/>
    <w:rsid w:val="700B49B0"/>
    <w:rsid w:val="700C48A5"/>
    <w:rsid w:val="700D5685"/>
    <w:rsid w:val="700D6F6E"/>
    <w:rsid w:val="7011596D"/>
    <w:rsid w:val="701337DF"/>
    <w:rsid w:val="701778DC"/>
    <w:rsid w:val="701C3816"/>
    <w:rsid w:val="701F3FB3"/>
    <w:rsid w:val="70227EC6"/>
    <w:rsid w:val="702A0B29"/>
    <w:rsid w:val="702A2886"/>
    <w:rsid w:val="702C2AF3"/>
    <w:rsid w:val="702E686B"/>
    <w:rsid w:val="702F613F"/>
    <w:rsid w:val="70343AA0"/>
    <w:rsid w:val="703457D6"/>
    <w:rsid w:val="70450816"/>
    <w:rsid w:val="704B624B"/>
    <w:rsid w:val="704E7A49"/>
    <w:rsid w:val="70577ED2"/>
    <w:rsid w:val="705A7660"/>
    <w:rsid w:val="7060279C"/>
    <w:rsid w:val="70622071"/>
    <w:rsid w:val="7067740C"/>
    <w:rsid w:val="706B6771"/>
    <w:rsid w:val="70700C31"/>
    <w:rsid w:val="70701E77"/>
    <w:rsid w:val="70763D6E"/>
    <w:rsid w:val="70773178"/>
    <w:rsid w:val="70790078"/>
    <w:rsid w:val="707B3132"/>
    <w:rsid w:val="707D334E"/>
    <w:rsid w:val="708458A9"/>
    <w:rsid w:val="7084648B"/>
    <w:rsid w:val="70912956"/>
    <w:rsid w:val="70983CE4"/>
    <w:rsid w:val="709A7A5C"/>
    <w:rsid w:val="70A11939"/>
    <w:rsid w:val="70A50D8C"/>
    <w:rsid w:val="70A72179"/>
    <w:rsid w:val="70AB1C6A"/>
    <w:rsid w:val="70AC59E2"/>
    <w:rsid w:val="70B311DB"/>
    <w:rsid w:val="70B52487"/>
    <w:rsid w:val="70BF1590"/>
    <w:rsid w:val="70BF5715"/>
    <w:rsid w:val="70C26FB3"/>
    <w:rsid w:val="70C40F7D"/>
    <w:rsid w:val="70C573B0"/>
    <w:rsid w:val="70C66AA3"/>
    <w:rsid w:val="70CE5958"/>
    <w:rsid w:val="70D34D1C"/>
    <w:rsid w:val="70DA42FD"/>
    <w:rsid w:val="70DD5B9B"/>
    <w:rsid w:val="70E30BEB"/>
    <w:rsid w:val="70E349F0"/>
    <w:rsid w:val="70F058CE"/>
    <w:rsid w:val="70F80C27"/>
    <w:rsid w:val="70F91D2D"/>
    <w:rsid w:val="70FB425D"/>
    <w:rsid w:val="71030372"/>
    <w:rsid w:val="710650F2"/>
    <w:rsid w:val="710A1DA0"/>
    <w:rsid w:val="710B095A"/>
    <w:rsid w:val="711041C2"/>
    <w:rsid w:val="71121CE9"/>
    <w:rsid w:val="71186BD3"/>
    <w:rsid w:val="711E15FC"/>
    <w:rsid w:val="711F4406"/>
    <w:rsid w:val="71224806"/>
    <w:rsid w:val="71241A1C"/>
    <w:rsid w:val="71285068"/>
    <w:rsid w:val="713368B7"/>
    <w:rsid w:val="7137627E"/>
    <w:rsid w:val="713A123F"/>
    <w:rsid w:val="713C4FB8"/>
    <w:rsid w:val="713E05C7"/>
    <w:rsid w:val="714479C8"/>
    <w:rsid w:val="71453E6C"/>
    <w:rsid w:val="71463740"/>
    <w:rsid w:val="714E3663"/>
    <w:rsid w:val="714F6A99"/>
    <w:rsid w:val="71520337"/>
    <w:rsid w:val="71571FBA"/>
    <w:rsid w:val="71662034"/>
    <w:rsid w:val="716F0EE9"/>
    <w:rsid w:val="717E737E"/>
    <w:rsid w:val="717F5A62"/>
    <w:rsid w:val="7181573E"/>
    <w:rsid w:val="718260FC"/>
    <w:rsid w:val="71856FBB"/>
    <w:rsid w:val="7189205F"/>
    <w:rsid w:val="718A1112"/>
    <w:rsid w:val="718E4ABD"/>
    <w:rsid w:val="718F3339"/>
    <w:rsid w:val="71902F66"/>
    <w:rsid w:val="719808DD"/>
    <w:rsid w:val="719C7804"/>
    <w:rsid w:val="71A14E1B"/>
    <w:rsid w:val="71A52B5D"/>
    <w:rsid w:val="71B20DD6"/>
    <w:rsid w:val="71B763EC"/>
    <w:rsid w:val="71B96608"/>
    <w:rsid w:val="71C22BD1"/>
    <w:rsid w:val="71C31235"/>
    <w:rsid w:val="71C5588B"/>
    <w:rsid w:val="71D21478"/>
    <w:rsid w:val="71D60F68"/>
    <w:rsid w:val="71D908E9"/>
    <w:rsid w:val="71DC10FC"/>
    <w:rsid w:val="71E47E5B"/>
    <w:rsid w:val="71E92A2E"/>
    <w:rsid w:val="71ED1E0E"/>
    <w:rsid w:val="71ED62B2"/>
    <w:rsid w:val="71F238C8"/>
    <w:rsid w:val="71F251F3"/>
    <w:rsid w:val="71F42838"/>
    <w:rsid w:val="71F623A4"/>
    <w:rsid w:val="71F633B8"/>
    <w:rsid w:val="71FB277D"/>
    <w:rsid w:val="71FD6A9E"/>
    <w:rsid w:val="720D24B0"/>
    <w:rsid w:val="72141A90"/>
    <w:rsid w:val="721455EC"/>
    <w:rsid w:val="72190E55"/>
    <w:rsid w:val="721D397B"/>
    <w:rsid w:val="721E1E64"/>
    <w:rsid w:val="72237433"/>
    <w:rsid w:val="722A7138"/>
    <w:rsid w:val="722C6CAE"/>
    <w:rsid w:val="72323CC5"/>
    <w:rsid w:val="72395053"/>
    <w:rsid w:val="723A3C1D"/>
    <w:rsid w:val="723B701D"/>
    <w:rsid w:val="724265FE"/>
    <w:rsid w:val="724A0CD6"/>
    <w:rsid w:val="724C1323"/>
    <w:rsid w:val="72511039"/>
    <w:rsid w:val="725945F5"/>
    <w:rsid w:val="725B321B"/>
    <w:rsid w:val="72604CD8"/>
    <w:rsid w:val="72606A84"/>
    <w:rsid w:val="72612976"/>
    <w:rsid w:val="7264244E"/>
    <w:rsid w:val="72646574"/>
    <w:rsid w:val="72724CF5"/>
    <w:rsid w:val="72774578"/>
    <w:rsid w:val="727918F3"/>
    <w:rsid w:val="728E539F"/>
    <w:rsid w:val="728F1117"/>
    <w:rsid w:val="72914480"/>
    <w:rsid w:val="72964253"/>
    <w:rsid w:val="7298446F"/>
    <w:rsid w:val="72A252EE"/>
    <w:rsid w:val="72A2709C"/>
    <w:rsid w:val="72AC7F1B"/>
    <w:rsid w:val="72AF080C"/>
    <w:rsid w:val="72B62B48"/>
    <w:rsid w:val="72B8066E"/>
    <w:rsid w:val="72B82D9A"/>
    <w:rsid w:val="72B868C0"/>
    <w:rsid w:val="72C1186F"/>
    <w:rsid w:val="72C16959"/>
    <w:rsid w:val="72C74D55"/>
    <w:rsid w:val="72CB422A"/>
    <w:rsid w:val="72D27981"/>
    <w:rsid w:val="72D47748"/>
    <w:rsid w:val="72D51220"/>
    <w:rsid w:val="72D57472"/>
    <w:rsid w:val="72D81BBC"/>
    <w:rsid w:val="72DF209E"/>
    <w:rsid w:val="72EB511F"/>
    <w:rsid w:val="72F50648"/>
    <w:rsid w:val="72F71196"/>
    <w:rsid w:val="72F84F0E"/>
    <w:rsid w:val="72F86CBC"/>
    <w:rsid w:val="72F97E3B"/>
    <w:rsid w:val="73041B05"/>
    <w:rsid w:val="730438B3"/>
    <w:rsid w:val="73045986"/>
    <w:rsid w:val="73060D7D"/>
    <w:rsid w:val="73081A59"/>
    <w:rsid w:val="730F0B9A"/>
    <w:rsid w:val="73130454"/>
    <w:rsid w:val="7315661F"/>
    <w:rsid w:val="73223D39"/>
    <w:rsid w:val="73226233"/>
    <w:rsid w:val="732857F3"/>
    <w:rsid w:val="732D4BB8"/>
    <w:rsid w:val="732E0930"/>
    <w:rsid w:val="73353469"/>
    <w:rsid w:val="73357F10"/>
    <w:rsid w:val="733F0D8F"/>
    <w:rsid w:val="73402BBB"/>
    <w:rsid w:val="73436A9F"/>
    <w:rsid w:val="734B3290"/>
    <w:rsid w:val="735C2E4B"/>
    <w:rsid w:val="735D2FC3"/>
    <w:rsid w:val="73631126"/>
    <w:rsid w:val="73642196"/>
    <w:rsid w:val="736524E8"/>
    <w:rsid w:val="73661E78"/>
    <w:rsid w:val="736926FC"/>
    <w:rsid w:val="736A3A81"/>
    <w:rsid w:val="736B748E"/>
    <w:rsid w:val="737427E7"/>
    <w:rsid w:val="73797DFD"/>
    <w:rsid w:val="73851FD6"/>
    <w:rsid w:val="7388400D"/>
    <w:rsid w:val="738D1AFA"/>
    <w:rsid w:val="738D38A8"/>
    <w:rsid w:val="738F2F06"/>
    <w:rsid w:val="7399049F"/>
    <w:rsid w:val="739A6E47"/>
    <w:rsid w:val="739E5AB6"/>
    <w:rsid w:val="73A330CC"/>
    <w:rsid w:val="73A40BF2"/>
    <w:rsid w:val="73A62BBC"/>
    <w:rsid w:val="73A86B00"/>
    <w:rsid w:val="73A96F5A"/>
    <w:rsid w:val="73AB00C5"/>
    <w:rsid w:val="73AE23C8"/>
    <w:rsid w:val="73B07597"/>
    <w:rsid w:val="73B13A3B"/>
    <w:rsid w:val="73B250BD"/>
    <w:rsid w:val="73B47087"/>
    <w:rsid w:val="73B76B77"/>
    <w:rsid w:val="73B854CD"/>
    <w:rsid w:val="73BB68CA"/>
    <w:rsid w:val="73BF7200"/>
    <w:rsid w:val="73C05A2C"/>
    <w:rsid w:val="73C117A4"/>
    <w:rsid w:val="73C83C2F"/>
    <w:rsid w:val="73CD1EF7"/>
    <w:rsid w:val="73CF3EC1"/>
    <w:rsid w:val="73D2667F"/>
    <w:rsid w:val="73D2750D"/>
    <w:rsid w:val="73D634A1"/>
    <w:rsid w:val="73E159A2"/>
    <w:rsid w:val="73EA4857"/>
    <w:rsid w:val="73F50B29"/>
    <w:rsid w:val="73FC458A"/>
    <w:rsid w:val="73FF0F7B"/>
    <w:rsid w:val="7400051E"/>
    <w:rsid w:val="74033223"/>
    <w:rsid w:val="74055B35"/>
    <w:rsid w:val="74070402"/>
    <w:rsid w:val="740873D3"/>
    <w:rsid w:val="740B4F73"/>
    <w:rsid w:val="74100036"/>
    <w:rsid w:val="74147B26"/>
    <w:rsid w:val="74193AA5"/>
    <w:rsid w:val="7428537F"/>
    <w:rsid w:val="742C4E6F"/>
    <w:rsid w:val="742F4960"/>
    <w:rsid w:val="74313ECE"/>
    <w:rsid w:val="743261FE"/>
    <w:rsid w:val="74341F76"/>
    <w:rsid w:val="743E2DF5"/>
    <w:rsid w:val="74426FEE"/>
    <w:rsid w:val="7443040B"/>
    <w:rsid w:val="74561EEC"/>
    <w:rsid w:val="745B7503"/>
    <w:rsid w:val="745D327B"/>
    <w:rsid w:val="745E5245"/>
    <w:rsid w:val="74601607"/>
    <w:rsid w:val="7464261B"/>
    <w:rsid w:val="74671076"/>
    <w:rsid w:val="746740F9"/>
    <w:rsid w:val="746A7310"/>
    <w:rsid w:val="746C1710"/>
    <w:rsid w:val="746F5F76"/>
    <w:rsid w:val="74714F78"/>
    <w:rsid w:val="7471529B"/>
    <w:rsid w:val="74716D26"/>
    <w:rsid w:val="747D4F1D"/>
    <w:rsid w:val="74844CAB"/>
    <w:rsid w:val="74857F88"/>
    <w:rsid w:val="748A428C"/>
    <w:rsid w:val="748C7A8E"/>
    <w:rsid w:val="748E155B"/>
    <w:rsid w:val="74947E50"/>
    <w:rsid w:val="74A013B9"/>
    <w:rsid w:val="74A215D5"/>
    <w:rsid w:val="74A56941"/>
    <w:rsid w:val="74AB183D"/>
    <w:rsid w:val="74C01A5C"/>
    <w:rsid w:val="74C15925"/>
    <w:rsid w:val="74CA4688"/>
    <w:rsid w:val="74CF1C9F"/>
    <w:rsid w:val="74D02CEF"/>
    <w:rsid w:val="74D07DDD"/>
    <w:rsid w:val="74D87AEB"/>
    <w:rsid w:val="74DA2B1D"/>
    <w:rsid w:val="74DC4AE7"/>
    <w:rsid w:val="74E7523A"/>
    <w:rsid w:val="74EA0887"/>
    <w:rsid w:val="74F00593"/>
    <w:rsid w:val="74F25C4A"/>
    <w:rsid w:val="74F32329"/>
    <w:rsid w:val="74F57957"/>
    <w:rsid w:val="74F57A43"/>
    <w:rsid w:val="74F6722B"/>
    <w:rsid w:val="74FC4464"/>
    <w:rsid w:val="74FC6F38"/>
    <w:rsid w:val="74FD680C"/>
    <w:rsid w:val="75023E22"/>
    <w:rsid w:val="75024427"/>
    <w:rsid w:val="75120509"/>
    <w:rsid w:val="75175B20"/>
    <w:rsid w:val="75241FEA"/>
    <w:rsid w:val="75254D7B"/>
    <w:rsid w:val="752A00F7"/>
    <w:rsid w:val="752C0040"/>
    <w:rsid w:val="752C7A2E"/>
    <w:rsid w:val="752F03A8"/>
    <w:rsid w:val="7533222E"/>
    <w:rsid w:val="75371D1E"/>
    <w:rsid w:val="753A7A60"/>
    <w:rsid w:val="753D4E5A"/>
    <w:rsid w:val="75436915"/>
    <w:rsid w:val="75446B7D"/>
    <w:rsid w:val="75461F61"/>
    <w:rsid w:val="7546457C"/>
    <w:rsid w:val="7553467E"/>
    <w:rsid w:val="75556648"/>
    <w:rsid w:val="75592BCB"/>
    <w:rsid w:val="755C79D6"/>
    <w:rsid w:val="7564688B"/>
    <w:rsid w:val="756B19C7"/>
    <w:rsid w:val="756D3991"/>
    <w:rsid w:val="75703098"/>
    <w:rsid w:val="757C5983"/>
    <w:rsid w:val="75846F2D"/>
    <w:rsid w:val="758C60D2"/>
    <w:rsid w:val="758E56B6"/>
    <w:rsid w:val="759224F8"/>
    <w:rsid w:val="759233F8"/>
    <w:rsid w:val="759E3B4B"/>
    <w:rsid w:val="75A30611"/>
    <w:rsid w:val="75A9713E"/>
    <w:rsid w:val="75AA40AE"/>
    <w:rsid w:val="75AA4D74"/>
    <w:rsid w:val="75B109B5"/>
    <w:rsid w:val="75B5389C"/>
    <w:rsid w:val="75B710B1"/>
    <w:rsid w:val="75B86DA1"/>
    <w:rsid w:val="75B90985"/>
    <w:rsid w:val="75C17839"/>
    <w:rsid w:val="75CA7FD0"/>
    <w:rsid w:val="75D7071D"/>
    <w:rsid w:val="75DE488F"/>
    <w:rsid w:val="75E023B5"/>
    <w:rsid w:val="75E35A02"/>
    <w:rsid w:val="75E47778"/>
    <w:rsid w:val="75E654F2"/>
    <w:rsid w:val="75E672A0"/>
    <w:rsid w:val="75EA6D90"/>
    <w:rsid w:val="75F0011F"/>
    <w:rsid w:val="76065B94"/>
    <w:rsid w:val="76070D73"/>
    <w:rsid w:val="760A7432"/>
    <w:rsid w:val="760D4778"/>
    <w:rsid w:val="761402B1"/>
    <w:rsid w:val="7618759B"/>
    <w:rsid w:val="761B33ED"/>
    <w:rsid w:val="762027B2"/>
    <w:rsid w:val="762304F4"/>
    <w:rsid w:val="762668DD"/>
    <w:rsid w:val="76285B0A"/>
    <w:rsid w:val="762B5982"/>
    <w:rsid w:val="76360227"/>
    <w:rsid w:val="76383A0B"/>
    <w:rsid w:val="763E5A74"/>
    <w:rsid w:val="76410019"/>
    <w:rsid w:val="7645046A"/>
    <w:rsid w:val="764A782F"/>
    <w:rsid w:val="764C17F9"/>
    <w:rsid w:val="764D37C3"/>
    <w:rsid w:val="764D3877"/>
    <w:rsid w:val="765831DB"/>
    <w:rsid w:val="765A2984"/>
    <w:rsid w:val="76656DDD"/>
    <w:rsid w:val="766A0BDC"/>
    <w:rsid w:val="766A6123"/>
    <w:rsid w:val="766F54E7"/>
    <w:rsid w:val="766F626F"/>
    <w:rsid w:val="767174B1"/>
    <w:rsid w:val="76724FD8"/>
    <w:rsid w:val="7676378C"/>
    <w:rsid w:val="76796366"/>
    <w:rsid w:val="767A6174"/>
    <w:rsid w:val="767B20DE"/>
    <w:rsid w:val="767B3E8C"/>
    <w:rsid w:val="767D5E56"/>
    <w:rsid w:val="7687438C"/>
    <w:rsid w:val="76880357"/>
    <w:rsid w:val="768E6C53"/>
    <w:rsid w:val="768F3680"/>
    <w:rsid w:val="768F7938"/>
    <w:rsid w:val="769E073B"/>
    <w:rsid w:val="76A21419"/>
    <w:rsid w:val="76A3670D"/>
    <w:rsid w:val="76B03A0B"/>
    <w:rsid w:val="76B1198F"/>
    <w:rsid w:val="76B15B00"/>
    <w:rsid w:val="76BD26F7"/>
    <w:rsid w:val="76BD44A5"/>
    <w:rsid w:val="76C9109B"/>
    <w:rsid w:val="76CE0460"/>
    <w:rsid w:val="76CE50D2"/>
    <w:rsid w:val="76DD06A3"/>
    <w:rsid w:val="76DF492F"/>
    <w:rsid w:val="76E00193"/>
    <w:rsid w:val="76E77774"/>
    <w:rsid w:val="76E97048"/>
    <w:rsid w:val="76EF03D6"/>
    <w:rsid w:val="76FA74A7"/>
    <w:rsid w:val="770B3462"/>
    <w:rsid w:val="770C71DA"/>
    <w:rsid w:val="770E1578"/>
    <w:rsid w:val="77184E5E"/>
    <w:rsid w:val="771F6E17"/>
    <w:rsid w:val="772C5186"/>
    <w:rsid w:val="77314CBC"/>
    <w:rsid w:val="773C186D"/>
    <w:rsid w:val="77462362"/>
    <w:rsid w:val="77471FC0"/>
    <w:rsid w:val="774B7D02"/>
    <w:rsid w:val="774C5829"/>
    <w:rsid w:val="77505319"/>
    <w:rsid w:val="775121C4"/>
    <w:rsid w:val="775242CD"/>
    <w:rsid w:val="77536BB7"/>
    <w:rsid w:val="775766A7"/>
    <w:rsid w:val="77626DFA"/>
    <w:rsid w:val="776668EA"/>
    <w:rsid w:val="77687E2B"/>
    <w:rsid w:val="776B2153"/>
    <w:rsid w:val="77707769"/>
    <w:rsid w:val="77732DB5"/>
    <w:rsid w:val="777D5166"/>
    <w:rsid w:val="77811976"/>
    <w:rsid w:val="778200FD"/>
    <w:rsid w:val="77822FF8"/>
    <w:rsid w:val="77836AB2"/>
    <w:rsid w:val="7784540E"/>
    <w:rsid w:val="778508AB"/>
    <w:rsid w:val="778B0B94"/>
    <w:rsid w:val="778C3E77"/>
    <w:rsid w:val="779571D0"/>
    <w:rsid w:val="77974CF6"/>
    <w:rsid w:val="77980A6E"/>
    <w:rsid w:val="77A2369A"/>
    <w:rsid w:val="77AF4615"/>
    <w:rsid w:val="77B5517C"/>
    <w:rsid w:val="77BE063E"/>
    <w:rsid w:val="77C16289"/>
    <w:rsid w:val="77C41863"/>
    <w:rsid w:val="77C655DB"/>
    <w:rsid w:val="77C80759"/>
    <w:rsid w:val="77CB4F1B"/>
    <w:rsid w:val="77CD65B0"/>
    <w:rsid w:val="77D25D2E"/>
    <w:rsid w:val="77D622D9"/>
    <w:rsid w:val="77E141C3"/>
    <w:rsid w:val="77E37F3B"/>
    <w:rsid w:val="77EE2084"/>
    <w:rsid w:val="77F263D0"/>
    <w:rsid w:val="77F51A1C"/>
    <w:rsid w:val="77FC0212"/>
    <w:rsid w:val="77FE5EC5"/>
    <w:rsid w:val="78000AED"/>
    <w:rsid w:val="780954C8"/>
    <w:rsid w:val="780D320A"/>
    <w:rsid w:val="78104AA8"/>
    <w:rsid w:val="78174088"/>
    <w:rsid w:val="7818561C"/>
    <w:rsid w:val="781B5927"/>
    <w:rsid w:val="78222F1C"/>
    <w:rsid w:val="7826607A"/>
    <w:rsid w:val="782A3DBC"/>
    <w:rsid w:val="782D7408"/>
    <w:rsid w:val="782F13D2"/>
    <w:rsid w:val="78360700"/>
    <w:rsid w:val="78370287"/>
    <w:rsid w:val="783B2D77"/>
    <w:rsid w:val="783E2B16"/>
    <w:rsid w:val="7847671C"/>
    <w:rsid w:val="784E4B18"/>
    <w:rsid w:val="78502123"/>
    <w:rsid w:val="78561944"/>
    <w:rsid w:val="7857374C"/>
    <w:rsid w:val="78585136"/>
    <w:rsid w:val="785C7CED"/>
    <w:rsid w:val="7866291A"/>
    <w:rsid w:val="786D1EFA"/>
    <w:rsid w:val="786F7E6B"/>
    <w:rsid w:val="787119EB"/>
    <w:rsid w:val="7879264D"/>
    <w:rsid w:val="78811502"/>
    <w:rsid w:val="78856ECF"/>
    <w:rsid w:val="788671CB"/>
    <w:rsid w:val="789324D9"/>
    <w:rsid w:val="78945094"/>
    <w:rsid w:val="78970D25"/>
    <w:rsid w:val="78A31478"/>
    <w:rsid w:val="78A40CFE"/>
    <w:rsid w:val="78A70559"/>
    <w:rsid w:val="78A70F68"/>
    <w:rsid w:val="78A7540C"/>
    <w:rsid w:val="78B10039"/>
    <w:rsid w:val="78B22CAC"/>
    <w:rsid w:val="78B60B19"/>
    <w:rsid w:val="78B611AB"/>
    <w:rsid w:val="78B74F24"/>
    <w:rsid w:val="78C343A5"/>
    <w:rsid w:val="78C966FA"/>
    <w:rsid w:val="78CA4C57"/>
    <w:rsid w:val="78D601A2"/>
    <w:rsid w:val="78DD498A"/>
    <w:rsid w:val="78E201F2"/>
    <w:rsid w:val="78E81581"/>
    <w:rsid w:val="78E8332F"/>
    <w:rsid w:val="78EA354B"/>
    <w:rsid w:val="78EB6238"/>
    <w:rsid w:val="78EC72C3"/>
    <w:rsid w:val="79000B05"/>
    <w:rsid w:val="79014A6C"/>
    <w:rsid w:val="7902048F"/>
    <w:rsid w:val="79022C15"/>
    <w:rsid w:val="790B0ACA"/>
    <w:rsid w:val="790E548B"/>
    <w:rsid w:val="79112790"/>
    <w:rsid w:val="791736B1"/>
    <w:rsid w:val="791B3704"/>
    <w:rsid w:val="7924080B"/>
    <w:rsid w:val="792628E1"/>
    <w:rsid w:val="79294073"/>
    <w:rsid w:val="792C5912"/>
    <w:rsid w:val="792C76C0"/>
    <w:rsid w:val="7931117A"/>
    <w:rsid w:val="793509FB"/>
    <w:rsid w:val="793D7B1F"/>
    <w:rsid w:val="793F7B02"/>
    <w:rsid w:val="795073E0"/>
    <w:rsid w:val="79534C4C"/>
    <w:rsid w:val="7956473D"/>
    <w:rsid w:val="795D3D1D"/>
    <w:rsid w:val="7960544D"/>
    <w:rsid w:val="796055BB"/>
    <w:rsid w:val="79654980"/>
    <w:rsid w:val="79660EEE"/>
    <w:rsid w:val="7967694A"/>
    <w:rsid w:val="79686716"/>
    <w:rsid w:val="796B643A"/>
    <w:rsid w:val="796C5D0E"/>
    <w:rsid w:val="797057FE"/>
    <w:rsid w:val="797A667D"/>
    <w:rsid w:val="797C090C"/>
    <w:rsid w:val="797C23F5"/>
    <w:rsid w:val="797D43BF"/>
    <w:rsid w:val="798017B9"/>
    <w:rsid w:val="79825532"/>
    <w:rsid w:val="798A3615"/>
    <w:rsid w:val="798B6ADC"/>
    <w:rsid w:val="79967706"/>
    <w:rsid w:val="79997DD2"/>
    <w:rsid w:val="799A6D1F"/>
    <w:rsid w:val="799B65F3"/>
    <w:rsid w:val="79A2402E"/>
    <w:rsid w:val="79A27982"/>
    <w:rsid w:val="79A404FF"/>
    <w:rsid w:val="79AA3928"/>
    <w:rsid w:val="79B10C2A"/>
    <w:rsid w:val="79B23D4A"/>
    <w:rsid w:val="79B24069"/>
    <w:rsid w:val="79B853F7"/>
    <w:rsid w:val="79BA109E"/>
    <w:rsid w:val="79C039F3"/>
    <w:rsid w:val="79C24075"/>
    <w:rsid w:val="79C964A8"/>
    <w:rsid w:val="79CB0C87"/>
    <w:rsid w:val="79D833A4"/>
    <w:rsid w:val="79DA711C"/>
    <w:rsid w:val="79DF2984"/>
    <w:rsid w:val="79F0693F"/>
    <w:rsid w:val="79F11630"/>
    <w:rsid w:val="79F535B9"/>
    <w:rsid w:val="79F553B9"/>
    <w:rsid w:val="79F75F20"/>
    <w:rsid w:val="79FE58CF"/>
    <w:rsid w:val="7A0348C4"/>
    <w:rsid w:val="7A044199"/>
    <w:rsid w:val="7A055BA1"/>
    <w:rsid w:val="7A067F11"/>
    <w:rsid w:val="7A082FAC"/>
    <w:rsid w:val="7A0835A5"/>
    <w:rsid w:val="7A0A5C53"/>
    <w:rsid w:val="7A0D5743"/>
    <w:rsid w:val="7A13515F"/>
    <w:rsid w:val="7A135402"/>
    <w:rsid w:val="7A1B0BBE"/>
    <w:rsid w:val="7A1B248F"/>
    <w:rsid w:val="7A1D06DF"/>
    <w:rsid w:val="7A1F4E82"/>
    <w:rsid w:val="7A214D4A"/>
    <w:rsid w:val="7A2217E7"/>
    <w:rsid w:val="7A2860D9"/>
    <w:rsid w:val="7A2B7420"/>
    <w:rsid w:val="7A2E5C1B"/>
    <w:rsid w:val="7A304EF1"/>
    <w:rsid w:val="7A320101"/>
    <w:rsid w:val="7A331483"/>
    <w:rsid w:val="7A3750AC"/>
    <w:rsid w:val="7A460C55"/>
    <w:rsid w:val="7A4831F0"/>
    <w:rsid w:val="7A496A87"/>
    <w:rsid w:val="7A505630"/>
    <w:rsid w:val="7A5073DE"/>
    <w:rsid w:val="7A56622C"/>
    <w:rsid w:val="7A575D27"/>
    <w:rsid w:val="7A630C3D"/>
    <w:rsid w:val="7A682979"/>
    <w:rsid w:val="7A684727"/>
    <w:rsid w:val="7A7237F8"/>
    <w:rsid w:val="7A7574D4"/>
    <w:rsid w:val="7A794B87"/>
    <w:rsid w:val="7A7A0E68"/>
    <w:rsid w:val="7A7C44FB"/>
    <w:rsid w:val="7A87592E"/>
    <w:rsid w:val="7A8A28F0"/>
    <w:rsid w:val="7A910122"/>
    <w:rsid w:val="7A996FD7"/>
    <w:rsid w:val="7A997EDE"/>
    <w:rsid w:val="7A9A3DA4"/>
    <w:rsid w:val="7AA511E0"/>
    <w:rsid w:val="7AA5772A"/>
    <w:rsid w:val="7AB21FA1"/>
    <w:rsid w:val="7AB931D5"/>
    <w:rsid w:val="7ABD3E42"/>
    <w:rsid w:val="7AC027B5"/>
    <w:rsid w:val="7AC04563"/>
    <w:rsid w:val="7AC322A6"/>
    <w:rsid w:val="7AC46ACD"/>
    <w:rsid w:val="7AC51FBB"/>
    <w:rsid w:val="7AC7547F"/>
    <w:rsid w:val="7AC878BC"/>
    <w:rsid w:val="7ACA759E"/>
    <w:rsid w:val="7ACB4CB6"/>
    <w:rsid w:val="7ACC2B18"/>
    <w:rsid w:val="7AD9265C"/>
    <w:rsid w:val="7ADD0951"/>
    <w:rsid w:val="7AE55D78"/>
    <w:rsid w:val="7AE83ABA"/>
    <w:rsid w:val="7AE85868"/>
    <w:rsid w:val="7AEA5CA5"/>
    <w:rsid w:val="7AEC5358"/>
    <w:rsid w:val="7AF4420D"/>
    <w:rsid w:val="7AF5699A"/>
    <w:rsid w:val="7AFB3DA0"/>
    <w:rsid w:val="7AFF5E5A"/>
    <w:rsid w:val="7B034450"/>
    <w:rsid w:val="7B046B46"/>
    <w:rsid w:val="7B0501C8"/>
    <w:rsid w:val="7B070D36"/>
    <w:rsid w:val="7B0C6726"/>
    <w:rsid w:val="7B0E1773"/>
    <w:rsid w:val="7B1448AF"/>
    <w:rsid w:val="7B170752"/>
    <w:rsid w:val="7B18065B"/>
    <w:rsid w:val="7B1E128A"/>
    <w:rsid w:val="7B25086A"/>
    <w:rsid w:val="7B252A78"/>
    <w:rsid w:val="7B2954AF"/>
    <w:rsid w:val="7B3116C6"/>
    <w:rsid w:val="7B4219EC"/>
    <w:rsid w:val="7B4E7DC1"/>
    <w:rsid w:val="7B4F38F4"/>
    <w:rsid w:val="7B51165F"/>
    <w:rsid w:val="7B5178B1"/>
    <w:rsid w:val="7B566C76"/>
    <w:rsid w:val="7B6475E5"/>
    <w:rsid w:val="7B65510B"/>
    <w:rsid w:val="7B6A2721"/>
    <w:rsid w:val="7B6C0247"/>
    <w:rsid w:val="7B6F1AE6"/>
    <w:rsid w:val="7B6F57A7"/>
    <w:rsid w:val="7B6F6BAD"/>
    <w:rsid w:val="7B7171B6"/>
    <w:rsid w:val="7B7535A0"/>
    <w:rsid w:val="7B786BEC"/>
    <w:rsid w:val="7B835472"/>
    <w:rsid w:val="7B8744D1"/>
    <w:rsid w:val="7B95779E"/>
    <w:rsid w:val="7B971768"/>
    <w:rsid w:val="7B99568F"/>
    <w:rsid w:val="7B9B0B2D"/>
    <w:rsid w:val="7BA25B92"/>
    <w:rsid w:val="7BA5344D"/>
    <w:rsid w:val="7BAD0F8C"/>
    <w:rsid w:val="7BB67714"/>
    <w:rsid w:val="7BBA211A"/>
    <w:rsid w:val="7BBF2A6D"/>
    <w:rsid w:val="7BC40083"/>
    <w:rsid w:val="7BC462D5"/>
    <w:rsid w:val="7BCC0CE6"/>
    <w:rsid w:val="7BD04748"/>
    <w:rsid w:val="7BD52290"/>
    <w:rsid w:val="7BD77DB7"/>
    <w:rsid w:val="7BDA1655"/>
    <w:rsid w:val="7BDF310F"/>
    <w:rsid w:val="7BE2675B"/>
    <w:rsid w:val="7BEE108B"/>
    <w:rsid w:val="7BEE3352"/>
    <w:rsid w:val="7BF1074D"/>
    <w:rsid w:val="7BF344C5"/>
    <w:rsid w:val="7BF546E1"/>
    <w:rsid w:val="7BFA3E64"/>
    <w:rsid w:val="7BFC76FD"/>
    <w:rsid w:val="7C042B76"/>
    <w:rsid w:val="7C0A1723"/>
    <w:rsid w:val="7C0E12FE"/>
    <w:rsid w:val="7C1A4147"/>
    <w:rsid w:val="7C1B633B"/>
    <w:rsid w:val="7C1D23AE"/>
    <w:rsid w:val="7C20707E"/>
    <w:rsid w:val="7C217284"/>
    <w:rsid w:val="7C273E40"/>
    <w:rsid w:val="7C286864"/>
    <w:rsid w:val="7C2D3E7B"/>
    <w:rsid w:val="7C372603"/>
    <w:rsid w:val="7C3A0345"/>
    <w:rsid w:val="7C3A20F4"/>
    <w:rsid w:val="7C3A2A38"/>
    <w:rsid w:val="7C3B3DA7"/>
    <w:rsid w:val="7C442F72"/>
    <w:rsid w:val="7C4E5B9F"/>
    <w:rsid w:val="7C5E2286"/>
    <w:rsid w:val="7C611D76"/>
    <w:rsid w:val="7C63789C"/>
    <w:rsid w:val="7C66738C"/>
    <w:rsid w:val="7C6862C6"/>
    <w:rsid w:val="7C6B2305"/>
    <w:rsid w:val="7C741AA9"/>
    <w:rsid w:val="7C743857"/>
    <w:rsid w:val="7C78445D"/>
    <w:rsid w:val="7C80044E"/>
    <w:rsid w:val="7C8141C6"/>
    <w:rsid w:val="7C8323C0"/>
    <w:rsid w:val="7C835849"/>
    <w:rsid w:val="7C8810B1"/>
    <w:rsid w:val="7C8A43D1"/>
    <w:rsid w:val="7C914409"/>
    <w:rsid w:val="7C9B5288"/>
    <w:rsid w:val="7C9C4285"/>
    <w:rsid w:val="7C9E2682"/>
    <w:rsid w:val="7CA0464C"/>
    <w:rsid w:val="7CAD6D69"/>
    <w:rsid w:val="7CAF2AE1"/>
    <w:rsid w:val="7CB023B6"/>
    <w:rsid w:val="7CB76111"/>
    <w:rsid w:val="7CBC51FE"/>
    <w:rsid w:val="7CBE5251"/>
    <w:rsid w:val="7CC52470"/>
    <w:rsid w:val="7CC7394F"/>
    <w:rsid w:val="7CCA3477"/>
    <w:rsid w:val="7CCD11BA"/>
    <w:rsid w:val="7CCD5320"/>
    <w:rsid w:val="7CD12A58"/>
    <w:rsid w:val="7CD35557"/>
    <w:rsid w:val="7CDE6F23"/>
    <w:rsid w:val="7CE24C65"/>
    <w:rsid w:val="7CE309DD"/>
    <w:rsid w:val="7CE516A3"/>
    <w:rsid w:val="7CE73FFC"/>
    <w:rsid w:val="7CE773AA"/>
    <w:rsid w:val="7CED7166"/>
    <w:rsid w:val="7CF03706"/>
    <w:rsid w:val="7CF60710"/>
    <w:rsid w:val="7D004F21"/>
    <w:rsid w:val="7D050134"/>
    <w:rsid w:val="7D052701"/>
    <w:rsid w:val="7D0A7934"/>
    <w:rsid w:val="7D11554A"/>
    <w:rsid w:val="7D124C9D"/>
    <w:rsid w:val="7D154FBB"/>
    <w:rsid w:val="7D16490F"/>
    <w:rsid w:val="7D197F5B"/>
    <w:rsid w:val="7D1D3FB1"/>
    <w:rsid w:val="7D221505"/>
    <w:rsid w:val="7D24527D"/>
    <w:rsid w:val="7D252DA4"/>
    <w:rsid w:val="7D2A2168"/>
    <w:rsid w:val="7D33726F"/>
    <w:rsid w:val="7D3F20B7"/>
    <w:rsid w:val="7D4509E9"/>
    <w:rsid w:val="7D4A280A"/>
    <w:rsid w:val="7D4C6582"/>
    <w:rsid w:val="7D4D129C"/>
    <w:rsid w:val="7D513B99"/>
    <w:rsid w:val="7D524BE5"/>
    <w:rsid w:val="7D5B0573"/>
    <w:rsid w:val="7D5B0D75"/>
    <w:rsid w:val="7D6815C0"/>
    <w:rsid w:val="7D6A1126"/>
    <w:rsid w:val="7D6E33A6"/>
    <w:rsid w:val="7D6F2271"/>
    <w:rsid w:val="7D702788"/>
    <w:rsid w:val="7D7358BD"/>
    <w:rsid w:val="7D844A87"/>
    <w:rsid w:val="7D877C53"/>
    <w:rsid w:val="7D891584"/>
    <w:rsid w:val="7D893333"/>
    <w:rsid w:val="7D935F5F"/>
    <w:rsid w:val="7D982567"/>
    <w:rsid w:val="7D9C588B"/>
    <w:rsid w:val="7DB069DC"/>
    <w:rsid w:val="7DB45A52"/>
    <w:rsid w:val="7DB639FC"/>
    <w:rsid w:val="7DBC5E3E"/>
    <w:rsid w:val="7DBD7D0A"/>
    <w:rsid w:val="7DC26094"/>
    <w:rsid w:val="7DC26844"/>
    <w:rsid w:val="7DC51D5E"/>
    <w:rsid w:val="7DCC1471"/>
    <w:rsid w:val="7DD32800"/>
    <w:rsid w:val="7DD722F0"/>
    <w:rsid w:val="7DDA593C"/>
    <w:rsid w:val="7DDB16B4"/>
    <w:rsid w:val="7DDD367E"/>
    <w:rsid w:val="7DF56D12"/>
    <w:rsid w:val="7DFA4ECB"/>
    <w:rsid w:val="7DFA7D8C"/>
    <w:rsid w:val="7E0B605B"/>
    <w:rsid w:val="7E0C7AC0"/>
    <w:rsid w:val="7E0E55E6"/>
    <w:rsid w:val="7E1176A9"/>
    <w:rsid w:val="7E1C5F55"/>
    <w:rsid w:val="7E1C7D03"/>
    <w:rsid w:val="7E1F6B85"/>
    <w:rsid w:val="7E2117BD"/>
    <w:rsid w:val="7E281E48"/>
    <w:rsid w:val="7E2A62C1"/>
    <w:rsid w:val="7E324524"/>
    <w:rsid w:val="7E3E41EE"/>
    <w:rsid w:val="7E454F1E"/>
    <w:rsid w:val="7E5F5EB7"/>
    <w:rsid w:val="7E6416AA"/>
    <w:rsid w:val="7E6A3164"/>
    <w:rsid w:val="7E717DBD"/>
    <w:rsid w:val="7E753736"/>
    <w:rsid w:val="7E7E09BD"/>
    <w:rsid w:val="7E7F64E4"/>
    <w:rsid w:val="7E7F6C85"/>
    <w:rsid w:val="7E846630"/>
    <w:rsid w:val="7E857F9E"/>
    <w:rsid w:val="7E924469"/>
    <w:rsid w:val="7E933D3D"/>
    <w:rsid w:val="7E953CDF"/>
    <w:rsid w:val="7E953F59"/>
    <w:rsid w:val="7E9755DB"/>
    <w:rsid w:val="7E9A3EF8"/>
    <w:rsid w:val="7E9E791D"/>
    <w:rsid w:val="7EA47CF8"/>
    <w:rsid w:val="7EAB552B"/>
    <w:rsid w:val="7EAE578B"/>
    <w:rsid w:val="7EB038C4"/>
    <w:rsid w:val="7EB50157"/>
    <w:rsid w:val="7EB51F05"/>
    <w:rsid w:val="7EB663A9"/>
    <w:rsid w:val="7EB87D14"/>
    <w:rsid w:val="7EBE700C"/>
    <w:rsid w:val="7EC34622"/>
    <w:rsid w:val="7EC42148"/>
    <w:rsid w:val="7EC56B18"/>
    <w:rsid w:val="7ECD724F"/>
    <w:rsid w:val="7ECF1219"/>
    <w:rsid w:val="7ED05708"/>
    <w:rsid w:val="7ED511AF"/>
    <w:rsid w:val="7ED92098"/>
    <w:rsid w:val="7EDA196C"/>
    <w:rsid w:val="7EE03426"/>
    <w:rsid w:val="7EE54599"/>
    <w:rsid w:val="7EE822DB"/>
    <w:rsid w:val="7EF7721A"/>
    <w:rsid w:val="7EF90044"/>
    <w:rsid w:val="7F096FC7"/>
    <w:rsid w:val="7F0C25A6"/>
    <w:rsid w:val="7F111831"/>
    <w:rsid w:val="7F121258"/>
    <w:rsid w:val="7F183EFE"/>
    <w:rsid w:val="7F1C3D32"/>
    <w:rsid w:val="7F1D519F"/>
    <w:rsid w:val="7F1E7AAB"/>
    <w:rsid w:val="7F231565"/>
    <w:rsid w:val="7F251A5D"/>
    <w:rsid w:val="7F2B49AD"/>
    <w:rsid w:val="7F2C21C7"/>
    <w:rsid w:val="7F2E7386"/>
    <w:rsid w:val="7F313C82"/>
    <w:rsid w:val="7F365850"/>
    <w:rsid w:val="7F3E014D"/>
    <w:rsid w:val="7F41310A"/>
    <w:rsid w:val="7F480FCB"/>
    <w:rsid w:val="7F4919FB"/>
    <w:rsid w:val="7F4A08A0"/>
    <w:rsid w:val="7F4B27AB"/>
    <w:rsid w:val="7F4F235A"/>
    <w:rsid w:val="7F531E4A"/>
    <w:rsid w:val="7F58120E"/>
    <w:rsid w:val="7F596D35"/>
    <w:rsid w:val="7F5C531D"/>
    <w:rsid w:val="7F5D3A3C"/>
    <w:rsid w:val="7F6802A7"/>
    <w:rsid w:val="7F736048"/>
    <w:rsid w:val="7F743B6E"/>
    <w:rsid w:val="7F74591C"/>
    <w:rsid w:val="7F7D0C75"/>
    <w:rsid w:val="7F872AEE"/>
    <w:rsid w:val="7F8813C8"/>
    <w:rsid w:val="7F8C0EB8"/>
    <w:rsid w:val="7F8C710A"/>
    <w:rsid w:val="7F8D0AFF"/>
    <w:rsid w:val="7F990854"/>
    <w:rsid w:val="7FA04963"/>
    <w:rsid w:val="7FA36202"/>
    <w:rsid w:val="7FAE7080"/>
    <w:rsid w:val="7FC44AF6"/>
    <w:rsid w:val="7FC76394"/>
    <w:rsid w:val="7FC877DE"/>
    <w:rsid w:val="7FC95C68"/>
    <w:rsid w:val="7FD14B1D"/>
    <w:rsid w:val="7FD15E28"/>
    <w:rsid w:val="7FD32B0B"/>
    <w:rsid w:val="7FD374BB"/>
    <w:rsid w:val="7FDB065F"/>
    <w:rsid w:val="7FDB599C"/>
    <w:rsid w:val="7FE99FD1"/>
    <w:rsid w:val="7FEC7BA9"/>
    <w:rsid w:val="7FEE56CF"/>
    <w:rsid w:val="7FFB7DEC"/>
    <w:rsid w:val="AF7FA6DF"/>
    <w:rsid w:val="FD3B4E6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qFormat="1"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qFormat="1"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44"/>
    <w:qFormat/>
    <w:uiPriority w:val="0"/>
    <w:pPr>
      <w:keepNext/>
      <w:outlineLvl w:val="0"/>
    </w:pPr>
    <w:rPr>
      <w:sz w:val="28"/>
    </w:rPr>
  </w:style>
  <w:style w:type="paragraph" w:styleId="6">
    <w:name w:val="heading 2"/>
    <w:basedOn w:val="1"/>
    <w:next w:val="1"/>
    <w:link w:val="45"/>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link w:val="46"/>
    <w:qFormat/>
    <w:uiPriority w:val="0"/>
    <w:pPr>
      <w:keepNext/>
      <w:keepLines/>
      <w:spacing w:before="260" w:after="260" w:line="416" w:lineRule="auto"/>
      <w:outlineLvl w:val="2"/>
    </w:pPr>
    <w:rPr>
      <w:b/>
      <w:bCs/>
      <w:sz w:val="32"/>
      <w:szCs w:val="32"/>
    </w:rPr>
  </w:style>
  <w:style w:type="paragraph" w:styleId="8">
    <w:name w:val="heading 4"/>
    <w:basedOn w:val="1"/>
    <w:next w:val="1"/>
    <w:qFormat/>
    <w:uiPriority w:val="9"/>
    <w:pPr>
      <w:keepNext/>
      <w:keepLines/>
      <w:widowControl w:val="0"/>
      <w:numPr>
        <w:ilvl w:val="3"/>
        <w:numId w:val="1"/>
      </w:numPr>
      <w:tabs>
        <w:tab w:val="left" w:pos="630"/>
      </w:tabs>
      <w:spacing w:before="156" w:after="156" w:line="360" w:lineRule="auto"/>
      <w:outlineLvl w:val="3"/>
    </w:pPr>
    <w:rPr>
      <w:rFonts w:ascii="华文中宋" w:hAnsi="华文中宋" w:eastAsia="华文中宋" w:cs="华文中宋"/>
      <w:bCs/>
      <w:kern w:val="2"/>
      <w:sz w:val="24"/>
      <w:szCs w:val="28"/>
      <w:lang w:val="en-US" w:eastAsia="zh-CN" w:bidi="ar-SA"/>
    </w:rPr>
  </w:style>
  <w:style w:type="paragraph" w:styleId="9">
    <w:name w:val="heading 5"/>
    <w:basedOn w:val="1"/>
    <w:next w:val="1"/>
    <w:qFormat/>
    <w:uiPriority w:val="0"/>
    <w:pPr>
      <w:keepNext/>
      <w:keepLines/>
      <w:tabs>
        <w:tab w:val="left" w:pos="1008"/>
      </w:tabs>
      <w:spacing w:before="280" w:after="290" w:line="376" w:lineRule="auto"/>
      <w:ind w:left="1008" w:hanging="1008"/>
      <w:outlineLvl w:val="4"/>
    </w:pPr>
    <w:rPr>
      <w:b/>
      <w:bCs/>
      <w:sz w:val="28"/>
      <w:szCs w:val="28"/>
    </w:rPr>
  </w:style>
  <w:style w:type="character" w:default="1" w:styleId="37">
    <w:name w:val="Default Paragraph Font"/>
    <w:semiHidden/>
    <w:qFormat/>
    <w:uiPriority w:val="0"/>
  </w:style>
  <w:style w:type="table" w:default="1" w:styleId="3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line="360" w:lineRule="auto"/>
      <w:ind w:firstLine="200" w:firstLineChars="200"/>
    </w:pPr>
    <w:rPr>
      <w:rFonts w:ascii="宋体" w:eastAsia="宋体"/>
      <w:sz w:val="21"/>
      <w:szCs w:val="20"/>
    </w:rPr>
  </w:style>
  <w:style w:type="paragraph" w:styleId="3">
    <w:name w:val="Body Text Indent"/>
    <w:basedOn w:val="1"/>
    <w:next w:val="4"/>
    <w:link w:val="43"/>
    <w:qFormat/>
    <w:uiPriority w:val="0"/>
    <w:pPr>
      <w:ind w:firstLine="660"/>
    </w:pPr>
    <w:rPr>
      <w:rFonts w:ascii="宋体" w:hAnsi="宋体"/>
      <w:color w:val="000000"/>
      <w:sz w:val="24"/>
      <w:szCs w:val="20"/>
    </w:rPr>
  </w:style>
  <w:style w:type="paragraph" w:styleId="4">
    <w:name w:val="envelope return"/>
    <w:basedOn w:val="1"/>
    <w:qFormat/>
    <w:uiPriority w:val="0"/>
    <w:pPr>
      <w:snapToGrid w:val="0"/>
    </w:pPr>
    <w:rPr>
      <w:rFonts w:ascii="Arial" w:hAnsi="Arial"/>
    </w:rPr>
  </w:style>
  <w:style w:type="paragraph" w:styleId="10">
    <w:name w:val="toc 7"/>
    <w:basedOn w:val="1"/>
    <w:next w:val="1"/>
    <w:qFormat/>
    <w:uiPriority w:val="39"/>
    <w:pPr>
      <w:ind w:left="1260"/>
      <w:jc w:val="left"/>
    </w:pPr>
    <w:rPr>
      <w:sz w:val="18"/>
      <w:szCs w:val="18"/>
    </w:rPr>
  </w:style>
  <w:style w:type="paragraph" w:styleId="11">
    <w:name w:val="Normal Indent"/>
    <w:basedOn w:val="1"/>
    <w:qFormat/>
    <w:uiPriority w:val="0"/>
    <w:pPr>
      <w:ind w:firstLine="420" w:firstLineChars="200"/>
    </w:pPr>
    <w:rPr>
      <w:rFonts w:ascii="宋体"/>
      <w:kern w:val="0"/>
      <w:sz w:val="24"/>
    </w:rPr>
  </w:style>
  <w:style w:type="paragraph" w:styleId="12">
    <w:name w:val="Document Map"/>
    <w:basedOn w:val="1"/>
    <w:next w:val="1"/>
    <w:link w:val="47"/>
    <w:semiHidden/>
    <w:qFormat/>
    <w:uiPriority w:val="0"/>
    <w:pPr>
      <w:shd w:val="clear" w:color="auto" w:fill="000080"/>
    </w:pPr>
  </w:style>
  <w:style w:type="paragraph" w:styleId="13">
    <w:name w:val="annotation text"/>
    <w:basedOn w:val="1"/>
    <w:link w:val="48"/>
    <w:semiHidden/>
    <w:uiPriority w:val="0"/>
    <w:pPr>
      <w:jc w:val="left"/>
    </w:pPr>
    <w:rPr>
      <w:szCs w:val="20"/>
    </w:rPr>
  </w:style>
  <w:style w:type="paragraph" w:styleId="14">
    <w:name w:val="Body Text 3"/>
    <w:basedOn w:val="1"/>
    <w:link w:val="49"/>
    <w:qFormat/>
    <w:uiPriority w:val="0"/>
    <w:pPr>
      <w:spacing w:before="156" w:beforeLines="50" w:after="156" w:afterLines="50" w:line="460" w:lineRule="exact"/>
      <w:jc w:val="center"/>
    </w:pPr>
    <w:rPr>
      <w:rFonts w:ascii="仿宋_GB2312" w:hAnsi="Arial" w:eastAsia="仿宋_GB2312"/>
      <w:bCs/>
      <w:sz w:val="28"/>
      <w:szCs w:val="28"/>
    </w:rPr>
  </w:style>
  <w:style w:type="paragraph" w:styleId="15">
    <w:name w:val="Body Text"/>
    <w:basedOn w:val="1"/>
    <w:link w:val="50"/>
    <w:qFormat/>
    <w:uiPriority w:val="0"/>
    <w:pPr>
      <w:spacing w:after="120"/>
    </w:pPr>
  </w:style>
  <w:style w:type="paragraph" w:styleId="16">
    <w:name w:val="toc 3"/>
    <w:basedOn w:val="1"/>
    <w:next w:val="1"/>
    <w:qFormat/>
    <w:uiPriority w:val="39"/>
    <w:pPr>
      <w:tabs>
        <w:tab w:val="right" w:leader="dot" w:pos="8965"/>
      </w:tabs>
      <w:jc w:val="left"/>
    </w:pPr>
    <w:rPr>
      <w:rFonts w:hAnsi="宋体"/>
      <w:b/>
      <w:sz w:val="24"/>
    </w:rPr>
  </w:style>
  <w:style w:type="paragraph" w:styleId="17">
    <w:name w:val="Plain Text"/>
    <w:basedOn w:val="1"/>
    <w:link w:val="51"/>
    <w:qFormat/>
    <w:uiPriority w:val="0"/>
    <w:rPr>
      <w:rFonts w:ascii="宋体" w:hAnsi="Courier New"/>
      <w:szCs w:val="21"/>
    </w:rPr>
  </w:style>
  <w:style w:type="paragraph" w:styleId="18">
    <w:name w:val="index 3"/>
    <w:basedOn w:val="1"/>
    <w:next w:val="1"/>
    <w:qFormat/>
    <w:uiPriority w:val="0"/>
    <w:pPr>
      <w:ind w:left="400" w:leftChars="400"/>
    </w:pPr>
    <w:rPr>
      <w:szCs w:val="20"/>
    </w:rPr>
  </w:style>
  <w:style w:type="paragraph" w:styleId="19">
    <w:name w:val="Date"/>
    <w:basedOn w:val="1"/>
    <w:next w:val="1"/>
    <w:link w:val="52"/>
    <w:uiPriority w:val="0"/>
    <w:rPr>
      <w:b/>
      <w:sz w:val="28"/>
      <w:szCs w:val="20"/>
    </w:rPr>
  </w:style>
  <w:style w:type="paragraph" w:styleId="20">
    <w:name w:val="Body Text Indent 2"/>
    <w:basedOn w:val="1"/>
    <w:link w:val="53"/>
    <w:uiPriority w:val="0"/>
    <w:pPr>
      <w:spacing w:after="120" w:line="480" w:lineRule="auto"/>
      <w:ind w:left="420" w:leftChars="200"/>
    </w:pPr>
  </w:style>
  <w:style w:type="paragraph" w:styleId="21">
    <w:name w:val="Balloon Text"/>
    <w:basedOn w:val="1"/>
    <w:link w:val="54"/>
    <w:qFormat/>
    <w:uiPriority w:val="0"/>
    <w:rPr>
      <w:sz w:val="18"/>
      <w:szCs w:val="18"/>
    </w:rPr>
  </w:style>
  <w:style w:type="paragraph" w:styleId="22">
    <w:name w:val="footer"/>
    <w:basedOn w:val="1"/>
    <w:link w:val="55"/>
    <w:qFormat/>
    <w:uiPriority w:val="99"/>
    <w:pPr>
      <w:tabs>
        <w:tab w:val="center" w:pos="4153"/>
        <w:tab w:val="right" w:pos="8306"/>
      </w:tabs>
      <w:snapToGrid w:val="0"/>
      <w:jc w:val="left"/>
    </w:pPr>
    <w:rPr>
      <w:sz w:val="18"/>
      <w:szCs w:val="20"/>
    </w:rPr>
  </w:style>
  <w:style w:type="paragraph" w:styleId="23">
    <w:name w:val="header"/>
    <w:basedOn w:val="1"/>
    <w:link w:val="56"/>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rPr>
      <w:sz w:val="24"/>
    </w:rPr>
  </w:style>
  <w:style w:type="paragraph" w:styleId="25">
    <w:name w:val="List"/>
    <w:basedOn w:val="1"/>
    <w:qFormat/>
    <w:uiPriority w:val="0"/>
    <w:pPr>
      <w:widowControl w:val="0"/>
      <w:spacing w:line="240" w:lineRule="auto"/>
      <w:ind w:left="420" w:hanging="420"/>
      <w:textAlignment w:val="auto"/>
    </w:pPr>
    <w:rPr>
      <w:rFonts w:ascii="Arial" w:hAnsi="Arial" w:eastAsia="楷体_GB2312"/>
      <w:color w:val="auto"/>
      <w:kern w:val="2"/>
      <w:sz w:val="28"/>
      <w:u w:val="none" w:color="auto"/>
    </w:rPr>
  </w:style>
  <w:style w:type="paragraph" w:styleId="26">
    <w:name w:val="toc 6"/>
    <w:basedOn w:val="1"/>
    <w:next w:val="1"/>
    <w:qFormat/>
    <w:uiPriority w:val="0"/>
    <w:pPr>
      <w:ind w:left="1050"/>
      <w:jc w:val="left"/>
    </w:pPr>
    <w:rPr>
      <w:szCs w:val="21"/>
    </w:rPr>
  </w:style>
  <w:style w:type="paragraph" w:styleId="27">
    <w:name w:val="Body Text Indent 3"/>
    <w:basedOn w:val="1"/>
    <w:link w:val="57"/>
    <w:qFormat/>
    <w:uiPriority w:val="0"/>
    <w:pPr>
      <w:ind w:left="178" w:leftChars="85" w:firstLine="560" w:firstLineChars="200"/>
    </w:pPr>
    <w:rPr>
      <w:rFonts w:ascii="仿宋_GB2312" w:hAnsi="Arial" w:eastAsia="仿宋_GB2312"/>
      <w:sz w:val="28"/>
    </w:rPr>
  </w:style>
  <w:style w:type="paragraph" w:styleId="28">
    <w:name w:val="toc 2"/>
    <w:basedOn w:val="1"/>
    <w:next w:val="1"/>
    <w:qFormat/>
    <w:uiPriority w:val="39"/>
    <w:pPr>
      <w:ind w:left="420" w:leftChars="200"/>
    </w:pPr>
    <w:rPr>
      <w:sz w:val="24"/>
    </w:rPr>
  </w:style>
  <w:style w:type="paragraph" w:styleId="29">
    <w:name w:val="Body Text 2"/>
    <w:basedOn w:val="1"/>
    <w:link w:val="58"/>
    <w:qFormat/>
    <w:uiPriority w:val="0"/>
    <w:pPr>
      <w:spacing w:after="120" w:line="480" w:lineRule="auto"/>
    </w:pPr>
  </w:style>
  <w:style w:type="paragraph" w:styleId="30">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Times New Roman"/>
      <w:sz w:val="24"/>
    </w:rPr>
  </w:style>
  <w:style w:type="paragraph" w:styleId="31">
    <w:name w:val="Normal (Web)"/>
    <w:basedOn w:val="1"/>
    <w:qFormat/>
    <w:uiPriority w:val="0"/>
    <w:pPr>
      <w:widowControl/>
      <w:spacing w:before="100" w:beforeAutospacing="1" w:after="100" w:afterAutospacing="1"/>
      <w:jc w:val="left"/>
    </w:pPr>
    <w:rPr>
      <w:rFonts w:ascii="宋体" w:hAnsi="宋体"/>
      <w:kern w:val="0"/>
      <w:sz w:val="24"/>
    </w:rPr>
  </w:style>
  <w:style w:type="paragraph" w:styleId="32">
    <w:name w:val="Title"/>
    <w:basedOn w:val="1"/>
    <w:next w:val="1"/>
    <w:link w:val="59"/>
    <w:qFormat/>
    <w:uiPriority w:val="0"/>
    <w:pPr>
      <w:spacing w:before="240" w:after="60"/>
      <w:jc w:val="center"/>
    </w:pPr>
    <w:rPr>
      <w:rFonts w:ascii="楷体" w:hAnsi="楷体" w:eastAsia="楷体"/>
      <w:b/>
      <w:bCs/>
      <w:sz w:val="44"/>
      <w:szCs w:val="44"/>
    </w:rPr>
  </w:style>
  <w:style w:type="paragraph" w:styleId="33">
    <w:name w:val="annotation subject"/>
    <w:basedOn w:val="13"/>
    <w:next w:val="13"/>
    <w:link w:val="60"/>
    <w:uiPriority w:val="0"/>
    <w:rPr>
      <w:b/>
      <w:bCs/>
      <w:szCs w:val="24"/>
    </w:rPr>
  </w:style>
  <w:style w:type="paragraph" w:styleId="34">
    <w:name w:val="Body Text First Indent"/>
    <w:basedOn w:val="15"/>
    <w:unhideWhenUsed/>
    <w:qFormat/>
    <w:uiPriority w:val="99"/>
    <w:pPr>
      <w:ind w:firstLine="420" w:firstLineChars="100"/>
    </w:p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0"/>
    <w:rPr>
      <w:b/>
    </w:rPr>
  </w:style>
  <w:style w:type="character" w:styleId="39">
    <w:name w:val="page number"/>
    <w:qFormat/>
    <w:uiPriority w:val="0"/>
  </w:style>
  <w:style w:type="character" w:styleId="40">
    <w:name w:val="FollowedHyperlink"/>
    <w:qFormat/>
    <w:uiPriority w:val="0"/>
    <w:rPr>
      <w:color w:val="000000"/>
      <w:u w:val="none"/>
    </w:rPr>
  </w:style>
  <w:style w:type="character" w:styleId="41">
    <w:name w:val="Hyperlink"/>
    <w:qFormat/>
    <w:uiPriority w:val="99"/>
    <w:rPr>
      <w:color w:val="000000"/>
      <w:u w:val="single"/>
    </w:rPr>
  </w:style>
  <w:style w:type="character" w:styleId="42">
    <w:name w:val="annotation reference"/>
    <w:qFormat/>
    <w:uiPriority w:val="0"/>
    <w:rPr>
      <w:sz w:val="21"/>
      <w:szCs w:val="21"/>
    </w:rPr>
  </w:style>
  <w:style w:type="character" w:customStyle="1" w:styleId="43">
    <w:name w:val="正文文本缩进 字符"/>
    <w:link w:val="3"/>
    <w:qFormat/>
    <w:uiPriority w:val="0"/>
    <w:rPr>
      <w:rFonts w:ascii="宋体" w:hAnsi="宋体"/>
      <w:color w:val="000000"/>
      <w:kern w:val="2"/>
      <w:sz w:val="24"/>
    </w:rPr>
  </w:style>
  <w:style w:type="character" w:customStyle="1" w:styleId="44">
    <w:name w:val="标题 1 字符"/>
    <w:link w:val="5"/>
    <w:uiPriority w:val="0"/>
    <w:rPr>
      <w:rFonts w:eastAsia="宋体"/>
      <w:kern w:val="2"/>
      <w:sz w:val="28"/>
      <w:szCs w:val="24"/>
      <w:lang w:val="en-US" w:eastAsia="zh-CN" w:bidi="ar-SA"/>
    </w:rPr>
  </w:style>
  <w:style w:type="character" w:customStyle="1" w:styleId="45">
    <w:name w:val="标题 2 字符"/>
    <w:link w:val="6"/>
    <w:qFormat/>
    <w:uiPriority w:val="0"/>
    <w:rPr>
      <w:rFonts w:ascii="Arial" w:hAnsi="Arial" w:eastAsia="黑体"/>
      <w:b/>
      <w:bCs/>
      <w:kern w:val="2"/>
      <w:sz w:val="32"/>
      <w:szCs w:val="32"/>
    </w:rPr>
  </w:style>
  <w:style w:type="character" w:customStyle="1" w:styleId="46">
    <w:name w:val="标题 3 字符"/>
    <w:link w:val="7"/>
    <w:qFormat/>
    <w:uiPriority w:val="0"/>
    <w:rPr>
      <w:b/>
      <w:bCs/>
      <w:kern w:val="2"/>
      <w:sz w:val="32"/>
      <w:szCs w:val="32"/>
    </w:rPr>
  </w:style>
  <w:style w:type="character" w:customStyle="1" w:styleId="47">
    <w:name w:val="文档结构图 字符"/>
    <w:link w:val="12"/>
    <w:semiHidden/>
    <w:qFormat/>
    <w:uiPriority w:val="0"/>
    <w:rPr>
      <w:kern w:val="2"/>
      <w:sz w:val="21"/>
      <w:szCs w:val="24"/>
      <w:shd w:val="clear" w:color="auto" w:fill="000080"/>
    </w:rPr>
  </w:style>
  <w:style w:type="character" w:customStyle="1" w:styleId="48">
    <w:name w:val="批注文字 字符"/>
    <w:link w:val="13"/>
    <w:semiHidden/>
    <w:qFormat/>
    <w:uiPriority w:val="0"/>
    <w:rPr>
      <w:rFonts w:eastAsia="宋体"/>
      <w:kern w:val="2"/>
      <w:sz w:val="21"/>
      <w:lang w:val="en-US" w:eastAsia="zh-CN" w:bidi="ar-SA"/>
    </w:rPr>
  </w:style>
  <w:style w:type="character" w:customStyle="1" w:styleId="49">
    <w:name w:val="正文文本 3 字符"/>
    <w:link w:val="14"/>
    <w:qFormat/>
    <w:uiPriority w:val="0"/>
    <w:rPr>
      <w:rFonts w:ascii="仿宋_GB2312" w:hAnsi="Arial" w:eastAsia="仿宋_GB2312" w:cs="Arial"/>
      <w:bCs/>
      <w:kern w:val="2"/>
      <w:sz w:val="28"/>
      <w:szCs w:val="28"/>
    </w:rPr>
  </w:style>
  <w:style w:type="character" w:customStyle="1" w:styleId="50">
    <w:name w:val="正文文本 字符"/>
    <w:link w:val="15"/>
    <w:qFormat/>
    <w:uiPriority w:val="0"/>
    <w:rPr>
      <w:kern w:val="2"/>
      <w:sz w:val="21"/>
      <w:szCs w:val="24"/>
    </w:rPr>
  </w:style>
  <w:style w:type="character" w:customStyle="1" w:styleId="51">
    <w:name w:val="纯文本 字符"/>
    <w:link w:val="17"/>
    <w:qFormat/>
    <w:locked/>
    <w:uiPriority w:val="0"/>
    <w:rPr>
      <w:rFonts w:ascii="宋体" w:hAnsi="Courier New"/>
      <w:kern w:val="2"/>
      <w:sz w:val="21"/>
      <w:szCs w:val="21"/>
    </w:rPr>
  </w:style>
  <w:style w:type="character" w:customStyle="1" w:styleId="52">
    <w:name w:val="日期 字符"/>
    <w:link w:val="19"/>
    <w:qFormat/>
    <w:locked/>
    <w:uiPriority w:val="0"/>
    <w:rPr>
      <w:rFonts w:eastAsia="宋体"/>
      <w:b/>
      <w:kern w:val="2"/>
      <w:sz w:val="28"/>
      <w:lang w:val="en-US" w:eastAsia="zh-CN" w:bidi="ar-SA"/>
    </w:rPr>
  </w:style>
  <w:style w:type="character" w:customStyle="1" w:styleId="53">
    <w:name w:val="正文文本缩进 2 字符"/>
    <w:link w:val="20"/>
    <w:uiPriority w:val="0"/>
    <w:rPr>
      <w:kern w:val="2"/>
      <w:sz w:val="21"/>
      <w:szCs w:val="24"/>
    </w:rPr>
  </w:style>
  <w:style w:type="character" w:customStyle="1" w:styleId="54">
    <w:name w:val="批注框文本 字符"/>
    <w:link w:val="21"/>
    <w:qFormat/>
    <w:uiPriority w:val="0"/>
    <w:rPr>
      <w:kern w:val="2"/>
      <w:sz w:val="18"/>
      <w:szCs w:val="18"/>
    </w:rPr>
  </w:style>
  <w:style w:type="character" w:customStyle="1" w:styleId="55">
    <w:name w:val="页脚 字符"/>
    <w:link w:val="22"/>
    <w:qFormat/>
    <w:uiPriority w:val="99"/>
    <w:rPr>
      <w:kern w:val="2"/>
      <w:sz w:val="18"/>
    </w:rPr>
  </w:style>
  <w:style w:type="character" w:customStyle="1" w:styleId="56">
    <w:name w:val="页眉 字符1"/>
    <w:link w:val="23"/>
    <w:qFormat/>
    <w:uiPriority w:val="0"/>
    <w:rPr>
      <w:kern w:val="2"/>
      <w:sz w:val="18"/>
      <w:szCs w:val="18"/>
    </w:rPr>
  </w:style>
  <w:style w:type="character" w:customStyle="1" w:styleId="57">
    <w:name w:val="正文文本缩进 3 字符"/>
    <w:link w:val="27"/>
    <w:qFormat/>
    <w:uiPriority w:val="0"/>
    <w:rPr>
      <w:rFonts w:ascii="仿宋_GB2312" w:hAnsi="Arial" w:eastAsia="仿宋_GB2312"/>
      <w:kern w:val="2"/>
      <w:sz w:val="28"/>
      <w:szCs w:val="24"/>
    </w:rPr>
  </w:style>
  <w:style w:type="character" w:customStyle="1" w:styleId="58">
    <w:name w:val="正文文本 2 字符"/>
    <w:link w:val="29"/>
    <w:qFormat/>
    <w:uiPriority w:val="0"/>
    <w:rPr>
      <w:kern w:val="2"/>
      <w:sz w:val="21"/>
      <w:szCs w:val="24"/>
    </w:rPr>
  </w:style>
  <w:style w:type="character" w:customStyle="1" w:styleId="59">
    <w:name w:val="标题 字符"/>
    <w:link w:val="32"/>
    <w:uiPriority w:val="0"/>
    <w:rPr>
      <w:rFonts w:ascii="楷体" w:hAnsi="楷体" w:eastAsia="楷体"/>
      <w:b/>
      <w:bCs/>
      <w:kern w:val="2"/>
      <w:sz w:val="44"/>
      <w:szCs w:val="44"/>
    </w:rPr>
  </w:style>
  <w:style w:type="character" w:customStyle="1" w:styleId="60">
    <w:name w:val="批注主题 字符"/>
    <w:link w:val="33"/>
    <w:qFormat/>
    <w:uiPriority w:val="0"/>
    <w:rPr>
      <w:rFonts w:eastAsia="宋体"/>
      <w:b/>
      <w:bCs/>
      <w:kern w:val="2"/>
      <w:sz w:val="21"/>
      <w:szCs w:val="24"/>
      <w:lang w:val="en-US" w:eastAsia="zh-CN" w:bidi="ar-SA"/>
    </w:rPr>
  </w:style>
  <w:style w:type="paragraph" w:customStyle="1" w:styleId="61">
    <w:name w:val="正文 New"/>
    <w:next w:val="6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
    <w:name w:val="正文缩进1"/>
    <w:basedOn w:val="1"/>
    <w:next w:val="12"/>
    <w:qFormat/>
    <w:uiPriority w:val="0"/>
    <w:pPr>
      <w:widowControl w:val="0"/>
      <w:autoSpaceDE/>
      <w:autoSpaceDN/>
      <w:spacing w:before="0" w:after="0" w:line="360" w:lineRule="atLeast"/>
      <w:ind w:left="0" w:firstLine="482"/>
      <w:jc w:val="both"/>
    </w:pPr>
    <w:rPr>
      <w:rFonts w:ascii="Times New Roman" w:eastAsia="宋体"/>
      <w:sz w:val="24"/>
    </w:rPr>
  </w:style>
  <w:style w:type="paragraph" w:customStyle="1" w:styleId="6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64">
    <w:name w:val="纯文本 Char2"/>
    <w:uiPriority w:val="0"/>
    <w:rPr>
      <w:rFonts w:ascii="宋体" w:hAnsi="Courier New"/>
      <w:kern w:val="2"/>
      <w:sz w:val="21"/>
      <w:szCs w:val="21"/>
    </w:rPr>
  </w:style>
  <w:style w:type="character" w:customStyle="1" w:styleId="65">
    <w:name w:val=" Char Char3"/>
    <w:uiPriority w:val="0"/>
    <w:rPr>
      <w:rFonts w:eastAsia="宋体"/>
      <w:kern w:val="2"/>
      <w:sz w:val="21"/>
      <w:lang w:val="en-US" w:eastAsia="zh-CN" w:bidi="ar-SA"/>
    </w:rPr>
  </w:style>
  <w:style w:type="character" w:customStyle="1" w:styleId="66">
    <w:name w:val="font21"/>
    <w:qFormat/>
    <w:uiPriority w:val="0"/>
    <w:rPr>
      <w:rFonts w:ascii="Calibri" w:hAnsi="Calibri" w:cs="Calibri"/>
      <w:color w:val="000000"/>
      <w:sz w:val="21"/>
      <w:szCs w:val="21"/>
      <w:u w:val="none"/>
    </w:rPr>
  </w:style>
  <w:style w:type="character" w:customStyle="1" w:styleId="67">
    <w:name w:val="封面日期 Char Char"/>
    <w:qFormat/>
    <w:uiPriority w:val="0"/>
    <w:rPr>
      <w:rFonts w:ascii="Times New Roman" w:hAnsi="Times New Roman" w:eastAsia="宋体" w:cs="Times New Roman"/>
      <w:b/>
      <w:sz w:val="28"/>
      <w:szCs w:val="20"/>
    </w:rPr>
  </w:style>
  <w:style w:type="character" w:customStyle="1" w:styleId="68">
    <w:name w:val="item-name"/>
    <w:uiPriority w:val="0"/>
  </w:style>
  <w:style w:type="character" w:customStyle="1" w:styleId="69">
    <w:name w:val="item-name1"/>
    <w:qFormat/>
    <w:uiPriority w:val="0"/>
    <w:rPr>
      <w:color w:val="333333"/>
    </w:rPr>
  </w:style>
  <w:style w:type="character" w:customStyle="1" w:styleId="70">
    <w:name w:val="apple-converted-space"/>
    <w:qFormat/>
    <w:uiPriority w:val="0"/>
  </w:style>
  <w:style w:type="character" w:customStyle="1" w:styleId="71">
    <w:name w:val="font31"/>
    <w:qFormat/>
    <w:uiPriority w:val="0"/>
    <w:rPr>
      <w:rFonts w:ascii="宋体" w:hAnsi="宋体" w:eastAsia="宋体" w:cs="宋体"/>
      <w:color w:val="000000"/>
      <w:sz w:val="21"/>
      <w:szCs w:val="21"/>
      <w:u w:val="none"/>
    </w:rPr>
  </w:style>
  <w:style w:type="character" w:customStyle="1" w:styleId="72">
    <w:name w:val="页眉 字符"/>
    <w:qFormat/>
    <w:uiPriority w:val="99"/>
  </w:style>
  <w:style w:type="character" w:customStyle="1" w:styleId="73">
    <w:name w:val="标题 Char1"/>
    <w:qFormat/>
    <w:uiPriority w:val="10"/>
    <w:rPr>
      <w:rFonts w:ascii="Calibri Light" w:hAnsi="Calibri Light" w:cs="Times New Roman"/>
      <w:b/>
      <w:bCs/>
      <w:kern w:val="2"/>
      <w:sz w:val="32"/>
      <w:szCs w:val="32"/>
    </w:rPr>
  </w:style>
  <w:style w:type="paragraph" w:customStyle="1" w:styleId="74">
    <w:name w:val="List Paragraph"/>
    <w:basedOn w:val="1"/>
    <w:qFormat/>
    <w:uiPriority w:val="0"/>
    <w:pPr>
      <w:ind w:firstLine="420" w:firstLineChars="200"/>
    </w:pPr>
    <w:rPr>
      <w:rFonts w:ascii="Calibri" w:hAnsi="Calibri"/>
      <w:szCs w:val="22"/>
    </w:rPr>
  </w:style>
  <w:style w:type="paragraph" w:customStyle="1" w:styleId="75">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76">
    <w:name w:val="标准正文"/>
    <w:basedOn w:val="3"/>
    <w:qFormat/>
    <w:uiPriority w:val="0"/>
    <w:pPr>
      <w:adjustRightInd w:val="0"/>
      <w:snapToGrid w:val="0"/>
      <w:spacing w:after="0" w:line="360" w:lineRule="auto"/>
      <w:ind w:left="0" w:leftChars="0" w:firstLine="560" w:firstLineChars="200"/>
    </w:pPr>
    <w:rPr>
      <w:rFonts w:ascii="Arial" w:hAnsi="Arial" w:eastAsia="楷体_GB2312"/>
      <w:kern w:val="0"/>
      <w:sz w:val="24"/>
      <w:szCs w:val="32"/>
    </w:rPr>
  </w:style>
  <w:style w:type="paragraph" w:customStyle="1" w:styleId="77">
    <w:name w:val="Char Char Char Char Char Char Char1 Char"/>
    <w:basedOn w:val="1"/>
    <w:qFormat/>
    <w:uiPriority w:val="0"/>
    <w:rPr>
      <w:rFonts w:ascii="Tahoma" w:hAnsi="Tahoma"/>
      <w:sz w:val="24"/>
      <w:szCs w:val="20"/>
    </w:rPr>
  </w:style>
  <w:style w:type="paragraph" w:customStyle="1" w:styleId="78">
    <w:name w:val="节标题"/>
    <w:basedOn w:val="1"/>
    <w:next w:val="1"/>
    <w:qFormat/>
    <w:uiPriority w:val="0"/>
    <w:pPr>
      <w:widowControl/>
      <w:spacing w:line="289" w:lineRule="atLeast"/>
      <w:jc w:val="center"/>
      <w:textAlignment w:val="baseline"/>
    </w:pPr>
    <w:rPr>
      <w:color w:val="000000"/>
      <w:kern w:val="0"/>
      <w:sz w:val="28"/>
      <w:u w:val="none" w:color="000000"/>
    </w:rPr>
  </w:style>
  <w:style w:type="paragraph" w:customStyle="1" w:styleId="79">
    <w:name w:val="正文无缩进"/>
    <w:basedOn w:val="1"/>
    <w:qFormat/>
    <w:uiPriority w:val="0"/>
    <w:pPr>
      <w:spacing w:line="600" w:lineRule="exact"/>
    </w:pPr>
    <w:rPr>
      <w:rFonts w:ascii="仿宋_GB2312" w:hAnsi="宋体" w:eastAsia="仿宋_GB2312"/>
      <w:sz w:val="31"/>
      <w:szCs w:val="28"/>
    </w:rPr>
  </w:style>
  <w:style w:type="paragraph" w:customStyle="1" w:styleId="80">
    <w:name w:val="Char Char Char Char Char Char Char Char Char1 Char Char Char1 Char Char Char Char Char Char"/>
    <w:basedOn w:val="1"/>
    <w:qFormat/>
    <w:uiPriority w:val="0"/>
    <w:pPr>
      <w:spacing w:line="360" w:lineRule="auto"/>
      <w:ind w:firstLine="200" w:firstLineChars="200"/>
    </w:pPr>
  </w:style>
  <w:style w:type="paragraph" w:customStyle="1" w:styleId="81">
    <w:name w:val="图1"/>
    <w:basedOn w:val="1"/>
    <w:next w:val="1"/>
    <w:qFormat/>
    <w:uiPriority w:val="0"/>
    <w:pPr>
      <w:numPr>
        <w:ilvl w:val="0"/>
        <w:numId w:val="2"/>
      </w:numPr>
      <w:tabs>
        <w:tab w:val="left" w:pos="777"/>
        <w:tab w:val="clear" w:pos="709"/>
      </w:tabs>
      <w:spacing w:beforeLines="50" w:afterLines="100" w:line="360" w:lineRule="auto"/>
      <w:ind w:left="2210" w:hanging="748"/>
      <w:jc w:val="center"/>
    </w:pPr>
    <w:rPr>
      <w:kern w:val="0"/>
      <w:sz w:val="24"/>
    </w:rPr>
  </w:style>
  <w:style w:type="paragraph" w:customStyle="1" w:styleId="82">
    <w:name w:val="彩色列表 - 着色 11"/>
    <w:basedOn w:val="1"/>
    <w:qFormat/>
    <w:uiPriority w:val="0"/>
    <w:pPr>
      <w:ind w:firstLine="420" w:firstLineChars="200"/>
    </w:pPr>
    <w:rPr>
      <w:rFonts w:ascii="Calibri" w:hAnsi="Calibri"/>
      <w:szCs w:val="22"/>
    </w:rPr>
  </w:style>
  <w:style w:type="paragraph" w:customStyle="1" w:styleId="83">
    <w:name w:val="样式1"/>
    <w:basedOn w:val="1"/>
    <w:qFormat/>
    <w:uiPriority w:val="0"/>
    <w:pPr>
      <w:numPr>
        <w:ilvl w:val="0"/>
        <w:numId w:val="3"/>
      </w:numPr>
      <w:adjustRightInd w:val="0"/>
      <w:textAlignment w:val="baseline"/>
    </w:pPr>
    <w:rPr>
      <w:rFonts w:ascii="宋体" w:hAnsi="宋体"/>
      <w:kern w:val="0"/>
      <w:szCs w:val="20"/>
    </w:rPr>
  </w:style>
  <w:style w:type="paragraph" w:customStyle="1" w:styleId="84">
    <w:name w:val=" Char Char Char Char"/>
    <w:basedOn w:val="1"/>
    <w:qFormat/>
    <w:uiPriority w:val="0"/>
    <w:pPr>
      <w:widowControl/>
      <w:spacing w:after="160" w:line="240" w:lineRule="exact"/>
      <w:jc w:val="left"/>
    </w:pPr>
    <w:rPr>
      <w:kern w:val="0"/>
      <w:sz w:val="24"/>
    </w:rPr>
  </w:style>
  <w:style w:type="paragraph" w:customStyle="1" w:styleId="85">
    <w:name w:val="_Style 8"/>
    <w:basedOn w:val="1"/>
    <w:qFormat/>
    <w:uiPriority w:val="0"/>
    <w:rPr>
      <w:szCs w:val="20"/>
    </w:rPr>
  </w:style>
  <w:style w:type="paragraph" w:customStyle="1" w:styleId="86">
    <w:name w:val="Char Char Char Char Char"/>
    <w:basedOn w:val="1"/>
    <w:qFormat/>
    <w:uiPriority w:val="0"/>
    <w:rPr>
      <w:rFonts w:ascii="Tahoma" w:hAnsi="Tahoma"/>
      <w:sz w:val="24"/>
      <w:szCs w:val="20"/>
    </w:rPr>
  </w:style>
  <w:style w:type="paragraph" w:customStyle="1" w:styleId="87">
    <w:name w:val=" Char"/>
    <w:basedOn w:val="1"/>
    <w:qFormat/>
    <w:uiPriority w:val="0"/>
    <w:rPr>
      <w:rFonts w:ascii="Tahoma" w:hAnsi="Tahoma"/>
      <w:sz w:val="24"/>
      <w:szCs w:val="20"/>
    </w:rPr>
  </w:style>
  <w:style w:type="paragraph" w:customStyle="1" w:styleId="88">
    <w:name w:val=" Char Char2 Char"/>
    <w:basedOn w:val="1"/>
    <w:uiPriority w:val="0"/>
    <w:rPr>
      <w:rFonts w:ascii="Tahoma" w:hAnsi="Tahoma"/>
      <w:sz w:val="24"/>
    </w:rPr>
  </w:style>
  <w:style w:type="paragraph" w:customStyle="1" w:styleId="89">
    <w:name w:val="Default Paragraph Char Char Char Char"/>
    <w:basedOn w:val="1"/>
    <w:next w:val="1"/>
    <w:qFormat/>
    <w:uiPriority w:val="0"/>
    <w:pPr>
      <w:widowControl/>
      <w:spacing w:line="360" w:lineRule="auto"/>
      <w:jc w:val="left"/>
    </w:pPr>
    <w:rPr>
      <w:rFonts w:ascii="仿宋_GB2312" w:eastAsia="仿宋_GB2312"/>
      <w:kern w:val="0"/>
      <w:sz w:val="32"/>
      <w:szCs w:val="20"/>
      <w:lang w:eastAsia="en-US"/>
    </w:rPr>
  </w:style>
  <w:style w:type="paragraph" w:customStyle="1" w:styleId="90">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91">
    <w:name w:val="_Style 4"/>
    <w:basedOn w:val="1"/>
    <w:qFormat/>
    <w:uiPriority w:val="0"/>
  </w:style>
  <w:style w:type="paragraph" w:customStyle="1" w:styleId="92">
    <w:name w:val="p0"/>
    <w:basedOn w:val="1"/>
    <w:qFormat/>
    <w:uiPriority w:val="0"/>
    <w:pPr>
      <w:widowControl/>
    </w:pPr>
    <w:rPr>
      <w:kern w:val="0"/>
      <w:szCs w:val="21"/>
    </w:rPr>
  </w:style>
  <w:style w:type="paragraph" w:customStyle="1" w:styleId="93">
    <w:name w:val="D&amp;L"/>
    <w:basedOn w:val="23"/>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94">
    <w:name w:val="Char"/>
    <w:basedOn w:val="1"/>
    <w:qFormat/>
    <w:uiPriority w:val="0"/>
    <w:rPr>
      <w:rFonts w:ascii="Tahoma" w:hAnsi="Tahoma"/>
      <w:sz w:val="24"/>
      <w:szCs w:val="20"/>
    </w:rPr>
  </w:style>
  <w:style w:type="paragraph" w:customStyle="1" w:styleId="95">
    <w:name w:val="BodyText"/>
    <w:basedOn w:val="1"/>
    <w:qFormat/>
    <w:uiPriority w:val="0"/>
    <w:pPr>
      <w:textAlignment w:val="baseline"/>
    </w:pPr>
    <w:rPr>
      <w:kern w:val="0"/>
      <w:sz w:val="18"/>
      <w:szCs w:val="18"/>
    </w:rPr>
  </w:style>
  <w:style w:type="paragraph" w:customStyle="1" w:styleId="96">
    <w:name w:val="正文_0"/>
    <w:qFormat/>
    <w:uiPriority w:val="0"/>
    <w:pPr>
      <w:widowControl w:val="0"/>
      <w:jc w:val="both"/>
    </w:pPr>
    <w:rPr>
      <w:rFonts w:ascii="仿宋_GB2312" w:hAnsi="仿宋_GB2312" w:eastAsia="宋体" w:cs="仿宋_GB2312"/>
      <w:kern w:val="2"/>
      <w:sz w:val="21"/>
      <w:szCs w:val="22"/>
      <w:lang w:val="en-US" w:eastAsia="zh-CN" w:bidi="ar-SA"/>
    </w:rPr>
  </w:style>
  <w:style w:type="paragraph" w:customStyle="1" w:styleId="97">
    <w:name w:val="cjk"/>
    <w:basedOn w:val="1"/>
    <w:qFormat/>
    <w:uiPriority w:val="0"/>
    <w:pPr>
      <w:widowControl/>
      <w:spacing w:before="100" w:beforeAutospacing="1"/>
      <w:jc w:val="left"/>
    </w:pPr>
    <w:rPr>
      <w:rFonts w:ascii="宋体" w:hAnsi="宋体" w:cs="宋体"/>
      <w:color w:val="000000"/>
      <w:kern w:val="0"/>
      <w:sz w:val="28"/>
      <w:szCs w:val="28"/>
    </w:rPr>
  </w:style>
  <w:style w:type="paragraph" w:customStyle="1" w:styleId="98">
    <w:name w:val="首行缩进"/>
    <w:basedOn w:val="1"/>
    <w:qFormat/>
    <w:uiPriority w:val="0"/>
    <w:pPr>
      <w:spacing w:line="360" w:lineRule="auto"/>
      <w:ind w:firstLine="480" w:firstLineChars="200"/>
    </w:pPr>
    <w:rPr>
      <w:rFonts w:ascii="宋体" w:hAnsi="宋体" w:cs="宋体"/>
      <w:sz w:val="24"/>
    </w:rPr>
  </w:style>
  <w:style w:type="paragraph" w:customStyle="1" w:styleId="99">
    <w:name w:val="正文正"/>
    <w:basedOn w:val="1"/>
    <w:qFormat/>
    <w:uiPriority w:val="0"/>
    <w:pPr>
      <w:spacing w:line="560" w:lineRule="exact"/>
      <w:ind w:firstLine="561"/>
    </w:pPr>
    <w:rPr>
      <w:rFonts w:ascii="Calibri" w:hAnsi="Calibri"/>
      <w:sz w:val="28"/>
      <w:szCs w:val="24"/>
    </w:rPr>
  </w:style>
  <w:style w:type="paragraph" w:customStyle="1" w:styleId="100">
    <w:name w:val="text-tag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01">
    <w:name w:val="UserStyle_18"/>
    <w:basedOn w:val="1"/>
    <w:qFormat/>
    <w:uiPriority w:val="0"/>
    <w:pPr>
      <w:widowControl/>
      <w:snapToGrid w:val="0"/>
      <w:ind w:firstLine="560"/>
      <w:jc w:val="left"/>
      <w:textAlignment w:val="baseline"/>
    </w:pPr>
    <w:rPr>
      <w:rFonts w:ascii="仿宋_GB2312"/>
      <w:color w:val="191919"/>
      <w:kern w:val="2"/>
      <w:sz w:val="28"/>
      <w:szCs w:val="28"/>
      <w:lang w:val="en-US" w:eastAsia="zh-CN" w:bidi="ar-SA"/>
    </w:rPr>
  </w:style>
  <w:style w:type="character" w:customStyle="1" w:styleId="102">
    <w:name w:val="NormalCharacter"/>
    <w:semiHidden/>
    <w:qFormat/>
    <w:uiPriority w:val="0"/>
  </w:style>
  <w:style w:type="paragraph" w:customStyle="1" w:styleId="103">
    <w:name w:val="xl25"/>
    <w:basedOn w:val="1"/>
    <w:qFormat/>
    <w:uiPriority w:val="0"/>
    <w:pPr>
      <w:widowControl/>
      <w:spacing w:before="100" w:beforeAutospacing="1" w:after="100" w:afterAutospacing="1"/>
      <w:jc w:val="right"/>
    </w:pPr>
    <w:rPr>
      <w:rFonts w:ascii="Arial Unicode MS" w:hAnsi="Arial Unicode MS" w:eastAsia="宋体" w:cs="Arial Unicode MS"/>
      <w:color w:val="000000"/>
      <w:kern w:val="0"/>
      <w:sz w:val="18"/>
      <w:szCs w:val="18"/>
    </w:rPr>
  </w:style>
  <w:style w:type="paragraph" w:customStyle="1" w:styleId="104">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paragraph" w:customStyle="1" w:styleId="105">
    <w:name w:val="列出段落1"/>
    <w:basedOn w:val="1"/>
    <w:qFormat/>
    <w:uiPriority w:val="99"/>
    <w:pPr>
      <w:ind w:firstLine="420" w:firstLineChars="200"/>
    </w:pPr>
    <w:rPr>
      <w:rFonts w:ascii="Calibri" w:hAnsi="Calibri" w:eastAsia="宋体" w:cs="Times New Roman"/>
      <w:szCs w:val="22"/>
    </w:rPr>
  </w:style>
  <w:style w:type="paragraph" w:customStyle="1" w:styleId="106">
    <w:name w:val="_Style 105"/>
    <w:unhideWhenUsed/>
    <w:qFormat/>
    <w:uiPriority w:val="99"/>
    <w:rPr>
      <w:rFonts w:ascii="Times New Roman" w:hAnsi="Times New Roman" w:eastAsia="宋体" w:cs="Times New Roman"/>
      <w:kern w:val="2"/>
      <w:sz w:val="21"/>
      <w:szCs w:val="24"/>
      <w:lang w:val="en-US" w:eastAsia="zh-CN" w:bidi="ar-SA"/>
    </w:rPr>
  </w:style>
  <w:style w:type="paragraph" w:customStyle="1" w:styleId="107">
    <w:name w:val="Table Text"/>
    <w:basedOn w:val="1"/>
    <w:semiHidden/>
    <w:qFormat/>
    <w:uiPriority w:val="0"/>
    <w:rPr>
      <w:rFonts w:ascii="宋体" w:hAnsi="宋体" w:eastAsia="宋体" w:cs="宋体"/>
      <w:sz w:val="24"/>
      <w:szCs w:val="24"/>
      <w:lang w:val="en-US" w:eastAsia="en-US" w:bidi="ar-SA"/>
    </w:rPr>
  </w:style>
  <w:style w:type="table" w:customStyle="1" w:styleId="108">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31429</Words>
  <Characters>33090</Characters>
  <Lines>265</Lines>
  <Paragraphs>74</Paragraphs>
  <TotalTime>7</TotalTime>
  <ScaleCrop>false</ScaleCrop>
  <LinksUpToDate>false</LinksUpToDate>
  <CharactersWithSpaces>35375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2024-03-21T03:03:00Z</dcterms:created>
  <dc:creator>Administrator</dc:creator>
  <cp:lastModifiedBy>好男人就是……</cp:lastModifiedBy>
  <cp:lastPrinted>2022-06-01T08:16:00Z</cp:lastPrinted>
  <dcterms:modified xsi:type="dcterms:W3CDTF">2024-08-13T01:45:01Z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2DD39437FC8E8B8F5FD2946644E9C6D3_43</vt:lpwstr>
  </property>
</Properties>
</file>