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2151">
      <w:pPr>
        <w:ind w:right="-315" w:rightChars="-150"/>
        <w:rPr>
          <w:rFonts w:hint="eastAsia" w:ascii="宋体" w:hAnsi="宋体" w:cs="宋体"/>
          <w:b/>
          <w:bCs/>
          <w:color w:val="auto"/>
          <w:sz w:val="48"/>
          <w:szCs w:val="48"/>
          <w:highlight w:val="none"/>
        </w:rPr>
      </w:pPr>
      <w:bookmarkStart w:id="0" w:name="OLE_LINK2"/>
      <w:bookmarkStart w:id="1" w:name="OLE_LINK4"/>
      <w:bookmarkStart w:id="2" w:name="OLE_LINK1"/>
      <w:bookmarkStart w:id="3" w:name="OLE_LINK3"/>
    </w:p>
    <w:p w14:paraId="24F4BE53">
      <w:pPr>
        <w:pStyle w:val="26"/>
        <w:ind w:firstLine="964"/>
        <w:rPr>
          <w:rFonts w:hint="eastAsia" w:hAnsi="宋体" w:cs="宋体"/>
          <w:b/>
          <w:bCs/>
          <w:color w:val="auto"/>
          <w:sz w:val="48"/>
          <w:szCs w:val="48"/>
          <w:highlight w:val="none"/>
        </w:rPr>
      </w:pPr>
    </w:p>
    <w:p w14:paraId="28FA338E">
      <w:pPr>
        <w:spacing w:before="162" w:beforeLines="50" w:after="162" w:afterLines="50" w:line="400" w:lineRule="atLeast"/>
        <w:jc w:val="center"/>
        <w:outlineLvl w:val="0"/>
        <w:rPr>
          <w:rFonts w:hint="eastAsia" w:ascii="宋体" w:hAnsi="宋体" w:cs="宋体"/>
          <w:b/>
          <w:bCs/>
          <w:color w:val="auto"/>
          <w:sz w:val="24"/>
          <w:szCs w:val="16"/>
          <w:highlight w:val="none"/>
        </w:rPr>
      </w:pPr>
      <w:bookmarkStart w:id="4" w:name="_Toc30097"/>
      <w:bookmarkStart w:id="5" w:name="_Toc9118"/>
      <w:r>
        <w:rPr>
          <w:rFonts w:hint="eastAsia" w:hAnsi="宋体" w:cs="宋体"/>
          <w:b/>
          <w:bCs/>
          <w:color w:val="auto"/>
          <w:sz w:val="48"/>
          <w:szCs w:val="48"/>
          <w:highlight w:val="none"/>
        </w:rPr>
        <w:t>滁州学院2024年档案管理系统采购（一期）</w:t>
      </w:r>
      <w:bookmarkEnd w:id="4"/>
      <w:bookmarkEnd w:id="5"/>
    </w:p>
    <w:p w14:paraId="0CA3F766">
      <w:pPr>
        <w:spacing w:before="162" w:beforeLines="50" w:after="162" w:afterLines="50" w:line="400" w:lineRule="atLeast"/>
        <w:jc w:val="center"/>
        <w:rPr>
          <w:rFonts w:hint="eastAsia" w:ascii="宋体" w:hAnsi="宋体" w:cs="宋体"/>
          <w:b/>
          <w:bCs/>
          <w:color w:val="auto"/>
          <w:sz w:val="24"/>
          <w:szCs w:val="16"/>
          <w:highlight w:val="none"/>
        </w:rPr>
      </w:pPr>
      <w:bookmarkStart w:id="6" w:name="_Toc11523"/>
    </w:p>
    <w:p w14:paraId="5B4FF2D1">
      <w:pPr>
        <w:spacing w:before="162" w:beforeLines="50" w:after="162" w:afterLines="50" w:line="400" w:lineRule="atLeast"/>
        <w:jc w:val="center"/>
        <w:outlineLvl w:val="0"/>
        <w:rPr>
          <w:rFonts w:ascii="宋体" w:hAnsi="宋体" w:cs="宋体"/>
          <w:b/>
          <w:bCs/>
          <w:color w:val="auto"/>
          <w:sz w:val="44"/>
          <w:highlight w:val="none"/>
        </w:rPr>
      </w:pPr>
      <w:bookmarkStart w:id="7" w:name="_Toc11162"/>
      <w:bookmarkStart w:id="8" w:name="_Toc18230"/>
      <w:r>
        <w:rPr>
          <w:rFonts w:hint="eastAsia" w:ascii="宋体" w:hAnsi="宋体" w:cs="宋体"/>
          <w:b/>
          <w:bCs/>
          <w:color w:val="auto"/>
          <w:sz w:val="24"/>
          <w:szCs w:val="16"/>
          <w:highlight w:val="none"/>
        </w:rPr>
        <w:t>项目编号：2024CG-0</w:t>
      </w:r>
      <w:bookmarkEnd w:id="6"/>
      <w:r>
        <w:rPr>
          <w:rFonts w:hint="eastAsia" w:ascii="宋体" w:hAnsi="宋体" w:cs="宋体"/>
          <w:b/>
          <w:bCs/>
          <w:color w:val="auto"/>
          <w:sz w:val="24"/>
          <w:szCs w:val="16"/>
          <w:highlight w:val="none"/>
        </w:rPr>
        <w:t>37</w:t>
      </w:r>
      <w:bookmarkEnd w:id="7"/>
      <w:bookmarkEnd w:id="8"/>
    </w:p>
    <w:p w14:paraId="31BF2C9B">
      <w:pPr>
        <w:spacing w:line="400" w:lineRule="atLeast"/>
        <w:rPr>
          <w:rFonts w:hint="eastAsia" w:ascii="宋体" w:hAnsi="宋体" w:cs="宋体"/>
          <w:b/>
          <w:color w:val="auto"/>
          <w:sz w:val="52"/>
          <w:szCs w:val="52"/>
          <w:highlight w:val="none"/>
        </w:rPr>
      </w:pPr>
    </w:p>
    <w:p w14:paraId="5C474F48">
      <w:pPr>
        <w:jc w:val="center"/>
        <w:outlineLvl w:val="0"/>
        <w:rPr>
          <w:rFonts w:hint="eastAsia" w:ascii="宋体" w:hAnsi="宋体"/>
          <w:b/>
          <w:color w:val="auto"/>
          <w:sz w:val="84"/>
          <w:szCs w:val="84"/>
          <w:highlight w:val="none"/>
        </w:rPr>
      </w:pPr>
      <w:bookmarkStart w:id="9" w:name="_Toc30024"/>
      <w:bookmarkStart w:id="10" w:name="_Toc3846"/>
      <w:bookmarkStart w:id="11" w:name="_Toc9978"/>
      <w:r>
        <w:rPr>
          <w:rFonts w:hint="eastAsia" w:ascii="宋体" w:hAnsi="宋体"/>
          <w:b/>
          <w:color w:val="auto"/>
          <w:sz w:val="84"/>
          <w:szCs w:val="84"/>
          <w:highlight w:val="none"/>
        </w:rPr>
        <w:t>采</w:t>
      </w:r>
      <w:bookmarkEnd w:id="9"/>
      <w:bookmarkEnd w:id="10"/>
      <w:bookmarkEnd w:id="11"/>
    </w:p>
    <w:p w14:paraId="1E2BF2DD">
      <w:pPr>
        <w:jc w:val="center"/>
        <w:outlineLvl w:val="0"/>
        <w:rPr>
          <w:rFonts w:hint="eastAsia" w:ascii="宋体" w:hAnsi="宋体"/>
          <w:b/>
          <w:color w:val="auto"/>
          <w:sz w:val="84"/>
          <w:szCs w:val="84"/>
          <w:highlight w:val="none"/>
        </w:rPr>
      </w:pPr>
      <w:bookmarkStart w:id="12" w:name="_Toc17206"/>
      <w:bookmarkStart w:id="13" w:name="_Toc1872"/>
      <w:bookmarkStart w:id="14" w:name="_Toc19802"/>
      <w:r>
        <w:rPr>
          <w:rFonts w:hint="eastAsia" w:ascii="宋体" w:hAnsi="宋体"/>
          <w:b/>
          <w:color w:val="auto"/>
          <w:sz w:val="84"/>
          <w:szCs w:val="84"/>
          <w:highlight w:val="none"/>
        </w:rPr>
        <w:t>购</w:t>
      </w:r>
      <w:bookmarkEnd w:id="12"/>
      <w:bookmarkEnd w:id="13"/>
      <w:bookmarkEnd w:id="14"/>
    </w:p>
    <w:p w14:paraId="51B3F3EB">
      <w:pPr>
        <w:jc w:val="center"/>
        <w:outlineLvl w:val="0"/>
        <w:rPr>
          <w:rFonts w:hint="eastAsia" w:ascii="宋体" w:hAnsi="宋体"/>
          <w:b/>
          <w:color w:val="auto"/>
          <w:sz w:val="84"/>
          <w:szCs w:val="84"/>
          <w:highlight w:val="none"/>
        </w:rPr>
      </w:pPr>
      <w:bookmarkStart w:id="15" w:name="_Toc11439"/>
      <w:bookmarkStart w:id="16" w:name="_Toc10839"/>
      <w:bookmarkStart w:id="17" w:name="_Toc6456"/>
      <w:r>
        <w:rPr>
          <w:rFonts w:hint="eastAsia" w:ascii="宋体" w:hAnsi="宋体"/>
          <w:b/>
          <w:color w:val="auto"/>
          <w:sz w:val="84"/>
          <w:szCs w:val="84"/>
          <w:highlight w:val="none"/>
        </w:rPr>
        <w:t>文</w:t>
      </w:r>
      <w:bookmarkEnd w:id="15"/>
      <w:bookmarkEnd w:id="16"/>
      <w:bookmarkEnd w:id="17"/>
    </w:p>
    <w:p w14:paraId="3690EDB0">
      <w:pPr>
        <w:jc w:val="center"/>
        <w:outlineLvl w:val="0"/>
        <w:rPr>
          <w:rFonts w:hint="eastAsia" w:ascii="宋体"/>
          <w:color w:val="auto"/>
          <w:sz w:val="28"/>
          <w:szCs w:val="28"/>
          <w:highlight w:val="none"/>
        </w:rPr>
      </w:pPr>
      <w:bookmarkStart w:id="18" w:name="_Toc13861"/>
      <w:bookmarkStart w:id="19" w:name="_Toc17725"/>
      <w:bookmarkStart w:id="20" w:name="_Toc28697"/>
      <w:r>
        <w:rPr>
          <w:rFonts w:hint="eastAsia" w:ascii="宋体" w:hAnsi="宋体"/>
          <w:b/>
          <w:color w:val="auto"/>
          <w:sz w:val="84"/>
          <w:szCs w:val="84"/>
          <w:highlight w:val="none"/>
        </w:rPr>
        <w:t>件</w:t>
      </w:r>
      <w:bookmarkEnd w:id="18"/>
      <w:bookmarkEnd w:id="19"/>
      <w:bookmarkEnd w:id="20"/>
    </w:p>
    <w:p w14:paraId="6F2BF25B">
      <w:pPr>
        <w:spacing w:line="480" w:lineRule="exact"/>
        <w:rPr>
          <w:rFonts w:hint="eastAsia" w:ascii="宋体" w:hAnsi="宋体" w:cs="宋体"/>
          <w:b/>
          <w:bCs/>
          <w:color w:val="auto"/>
          <w:sz w:val="32"/>
          <w:highlight w:val="none"/>
        </w:rPr>
      </w:pPr>
    </w:p>
    <w:p w14:paraId="4EDE01CF">
      <w:pPr>
        <w:spacing w:line="480" w:lineRule="exact"/>
        <w:ind w:firstLine="472" w:firstLineChars="147"/>
        <w:rPr>
          <w:rFonts w:hint="eastAsia" w:ascii="宋体" w:hAnsi="宋体" w:cs="宋体"/>
          <w:b/>
          <w:bCs/>
          <w:color w:val="auto"/>
          <w:sz w:val="32"/>
          <w:highlight w:val="none"/>
        </w:rPr>
      </w:pPr>
    </w:p>
    <w:p w14:paraId="0AA45414">
      <w:pPr>
        <w:spacing w:line="480" w:lineRule="exact"/>
        <w:ind w:firstLine="472" w:firstLineChars="147"/>
        <w:rPr>
          <w:rFonts w:hint="eastAsia" w:ascii="宋体" w:hAnsi="宋体" w:cs="宋体"/>
          <w:b/>
          <w:bCs/>
          <w:color w:val="auto"/>
          <w:sz w:val="32"/>
          <w:highlight w:val="none"/>
        </w:rPr>
      </w:pPr>
    </w:p>
    <w:p w14:paraId="12578E50">
      <w:pPr>
        <w:spacing w:line="480" w:lineRule="exact"/>
        <w:ind w:firstLine="472" w:firstLineChars="147"/>
        <w:rPr>
          <w:rFonts w:hint="eastAsia" w:ascii="宋体" w:hAnsi="宋体" w:cs="宋体"/>
          <w:b/>
          <w:bCs/>
          <w:color w:val="auto"/>
          <w:sz w:val="32"/>
          <w:highlight w:val="none"/>
        </w:rPr>
      </w:pPr>
    </w:p>
    <w:p w14:paraId="567858B3">
      <w:pPr>
        <w:spacing w:before="162" w:beforeLines="50" w:after="162" w:afterLines="50" w:line="440" w:lineRule="exact"/>
        <w:jc w:val="center"/>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rPr>
        <w:t>采购人 ：</w:t>
      </w:r>
      <w:r>
        <w:rPr>
          <w:rFonts w:hint="eastAsia" w:ascii="宋体" w:hAnsi="宋体" w:cs="宋体"/>
          <w:b/>
          <w:bCs/>
          <w:color w:val="auto"/>
          <w:sz w:val="28"/>
          <w:szCs w:val="28"/>
          <w:highlight w:val="none"/>
          <w:u w:val="single"/>
        </w:rPr>
        <w:t xml:space="preserve">      资产与实验室管理处    （盖章）</w:t>
      </w:r>
    </w:p>
    <w:p w14:paraId="0DFA49C8">
      <w:pPr>
        <w:spacing w:before="162" w:beforeLines="50" w:after="162" w:afterLines="50" w:line="440" w:lineRule="exact"/>
        <w:jc w:val="center"/>
        <w:outlineLvl w:val="0"/>
        <w:rPr>
          <w:rFonts w:hint="eastAsia" w:ascii="宋体" w:hAnsi="宋体" w:cs="宋体"/>
          <w:b/>
          <w:color w:val="auto"/>
          <w:sz w:val="28"/>
          <w:szCs w:val="28"/>
          <w:highlight w:val="none"/>
          <w:u w:val="single"/>
        </w:rPr>
      </w:pPr>
      <w:bookmarkStart w:id="21" w:name="_Toc31098"/>
      <w:bookmarkStart w:id="22" w:name="_Toc26052"/>
      <w:bookmarkStart w:id="23" w:name="_Toc12572"/>
      <w:r>
        <w:rPr>
          <w:rFonts w:hint="eastAsia" w:ascii="宋体" w:hAnsi="宋体" w:cs="宋体"/>
          <w:b/>
          <w:bCs/>
          <w:color w:val="auto"/>
          <w:sz w:val="28"/>
          <w:szCs w:val="28"/>
          <w:highlight w:val="none"/>
        </w:rPr>
        <w:t>采购代理机构：</w:t>
      </w:r>
      <w:r>
        <w:rPr>
          <w:rFonts w:hint="eastAsia" w:ascii="宋体" w:hAnsi="宋体" w:cs="宋体"/>
          <w:b/>
          <w:bCs/>
          <w:color w:val="auto"/>
          <w:sz w:val="28"/>
          <w:szCs w:val="28"/>
          <w:highlight w:val="none"/>
          <w:u w:val="single"/>
        </w:rPr>
        <w:t xml:space="preserve">    </w:t>
      </w:r>
      <w:r>
        <w:rPr>
          <w:rFonts w:hint="eastAsia" w:ascii="宋体" w:hAnsi="宋体" w:cs="宋体"/>
          <w:b/>
          <w:color w:val="auto"/>
          <w:sz w:val="28"/>
          <w:szCs w:val="28"/>
          <w:highlight w:val="none"/>
          <w:u w:val="single"/>
        </w:rPr>
        <w:t>安徽立地工程咨询有限公司  （盖章）</w:t>
      </w:r>
      <w:bookmarkEnd w:id="21"/>
      <w:bookmarkEnd w:id="22"/>
      <w:bookmarkEnd w:id="23"/>
    </w:p>
    <w:p w14:paraId="400E76DF">
      <w:pPr>
        <w:spacing w:before="162" w:beforeLines="50" w:after="162" w:afterLines="50" w:line="440" w:lineRule="exact"/>
        <w:jc w:val="center"/>
        <w:rPr>
          <w:rFonts w:hint="eastAsia" w:ascii="宋体" w:hAnsi="宋体" w:cs="宋体"/>
          <w:b/>
          <w:color w:val="auto"/>
          <w:sz w:val="32"/>
          <w:szCs w:val="32"/>
          <w:highlight w:val="none"/>
          <w:u w:val="single"/>
        </w:rPr>
      </w:pPr>
      <w:r>
        <w:rPr>
          <w:rFonts w:hint="eastAsia" w:ascii="宋体" w:hAnsi="宋体" w:cs="宋体"/>
          <w:b/>
          <w:bCs/>
          <w:color w:val="auto"/>
          <w:sz w:val="28"/>
          <w:szCs w:val="28"/>
          <w:highlight w:val="none"/>
        </w:rPr>
        <w:t>发布日期：</w:t>
      </w:r>
      <w:r>
        <w:rPr>
          <w:rFonts w:hint="eastAsia" w:ascii="宋体" w:hAnsi="宋体" w:cs="宋体"/>
          <w:b/>
          <w:color w:val="auto"/>
          <w:sz w:val="28"/>
          <w:szCs w:val="28"/>
          <w:highlight w:val="none"/>
          <w:u w:val="single"/>
        </w:rPr>
        <w:t>2024年8月</w:t>
      </w:r>
    </w:p>
    <w:p w14:paraId="0B4EF026">
      <w:pPr>
        <w:adjustRightInd w:val="0"/>
        <w:snapToGrid w:val="0"/>
        <w:spacing w:line="460" w:lineRule="exact"/>
        <w:jc w:val="center"/>
        <w:rPr>
          <w:rFonts w:hint="eastAsia" w:ascii="宋体" w:hAnsi="宋体" w:cs="宋体"/>
          <w:b/>
          <w:color w:val="auto"/>
          <w:sz w:val="32"/>
          <w:szCs w:val="32"/>
          <w:highlight w:val="none"/>
        </w:rPr>
      </w:pPr>
      <w:bookmarkStart w:id="24" w:name="_Toc23582"/>
    </w:p>
    <w:p w14:paraId="5D046ABE">
      <w:pPr>
        <w:adjustRightInd w:val="0"/>
        <w:snapToGrid w:val="0"/>
        <w:spacing w:line="460" w:lineRule="exact"/>
        <w:jc w:val="center"/>
        <w:rPr>
          <w:rFonts w:hint="eastAsia" w:ascii="宋体" w:hAnsi="宋体" w:cs="宋体"/>
          <w:b/>
          <w:color w:val="auto"/>
          <w:sz w:val="32"/>
          <w:szCs w:val="32"/>
          <w:highlight w:val="none"/>
        </w:rPr>
      </w:pPr>
    </w:p>
    <w:p w14:paraId="2BE2F0B6">
      <w:pPr>
        <w:adjustRightInd w:val="0"/>
        <w:snapToGrid w:val="0"/>
        <w:spacing w:line="460" w:lineRule="exact"/>
        <w:jc w:val="center"/>
        <w:outlineLvl w:val="0"/>
        <w:rPr>
          <w:rFonts w:hint="eastAsia" w:ascii="宋体" w:hAnsi="宋体" w:cs="宋体"/>
          <w:b/>
          <w:color w:val="auto"/>
          <w:sz w:val="32"/>
          <w:szCs w:val="32"/>
          <w:highlight w:val="none"/>
        </w:rPr>
      </w:pPr>
      <w:bookmarkStart w:id="25" w:name="_Toc22506"/>
      <w:bookmarkStart w:id="26" w:name="_Toc32579"/>
      <w:r>
        <w:rPr>
          <w:rFonts w:hint="eastAsia" w:ascii="宋体" w:hAnsi="宋体" w:cs="宋体"/>
          <w:b/>
          <w:color w:val="auto"/>
          <w:sz w:val="32"/>
          <w:szCs w:val="32"/>
          <w:highlight w:val="none"/>
        </w:rPr>
        <w:t>采购文件目录</w:t>
      </w:r>
      <w:bookmarkEnd w:id="24"/>
      <w:bookmarkEnd w:id="25"/>
      <w:bookmarkEnd w:id="26"/>
    </w:p>
    <w:p w14:paraId="496BF8A6">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TOC \o "1-3" \h \u </w:instrText>
      </w:r>
      <w:r>
        <w:rPr>
          <w:rFonts w:hint="eastAsia"/>
          <w:b w:val="0"/>
          <w:bCs w:val="0"/>
          <w:color w:val="auto"/>
          <w:sz w:val="21"/>
          <w:szCs w:val="21"/>
          <w:highlight w:val="none"/>
        </w:rPr>
        <w:fldChar w:fldCharType="separate"/>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_Toc4325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第一章  投标须知</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_Toc4325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4</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1FC3EA49">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_Toc26132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第二章  评标办法</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_Toc26132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12</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141E756B">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_Toc3357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第三章  档案信息化建设采购需求</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_Toc3357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18</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357D91B3">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_Toc5833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第四章</w:t>
      </w:r>
      <w:r>
        <w:rPr>
          <w:rFonts w:hint="eastAsia"/>
          <w:b w:val="0"/>
          <w:bCs w:val="0"/>
          <w:color w:val="auto"/>
          <w:sz w:val="21"/>
          <w:szCs w:val="21"/>
          <w:highlight w:val="none"/>
          <w:lang w:val="en-US"/>
        </w:rPr>
        <w:t xml:space="preserve"> </w:t>
      </w:r>
      <w:r>
        <w:rPr>
          <w:rFonts w:hint="eastAsia"/>
          <w:b w:val="0"/>
          <w:bCs w:val="0"/>
          <w:color w:val="auto"/>
          <w:sz w:val="21"/>
          <w:szCs w:val="21"/>
          <w:highlight w:val="none"/>
        </w:rPr>
        <w:t>合同条款及格式（服务类）</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_Toc5833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32</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75CD6628">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_Toc21805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第五章  投标文件标格式</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_Toc21805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40</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7C1E0A9A">
      <w:pPr>
        <w:pStyle w:val="21"/>
        <w:tabs>
          <w:tab w:val="right" w:leader="dot" w:pos="9072"/>
        </w:tabs>
        <w:spacing w:before="0" w:line="440" w:lineRule="exact"/>
        <w:ind w:left="0"/>
        <w:rPr>
          <w:rFonts w:hint="eastAsia"/>
          <w:b w:val="0"/>
          <w:bCs w:val="0"/>
          <w:color w:val="auto"/>
          <w:sz w:val="21"/>
          <w:szCs w:val="21"/>
          <w:highlight w:val="none"/>
        </w:rPr>
      </w:pP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HYPERLINK \l _Toc29871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第六章  采购单位、招标代理机构对本采购文件的确认</w:t>
      </w:r>
      <w:r>
        <w:rPr>
          <w:rFonts w:hint="eastAsia"/>
          <w:b w:val="0"/>
          <w:bCs w:val="0"/>
          <w:color w:val="auto"/>
          <w:sz w:val="21"/>
          <w:szCs w:val="21"/>
          <w:highlight w:val="none"/>
        </w:rPr>
        <w:tab/>
      </w:r>
      <w:r>
        <w:rPr>
          <w:rFonts w:hint="eastAsia"/>
          <w:b w:val="0"/>
          <w:bCs w:val="0"/>
          <w:color w:val="auto"/>
          <w:sz w:val="21"/>
          <w:szCs w:val="21"/>
          <w:highlight w:val="none"/>
        </w:rPr>
        <w:fldChar w:fldCharType="begin"/>
      </w:r>
      <w:r>
        <w:rPr>
          <w:rFonts w:hint="eastAsia"/>
          <w:b w:val="0"/>
          <w:bCs w:val="0"/>
          <w:color w:val="auto"/>
          <w:sz w:val="21"/>
          <w:szCs w:val="21"/>
          <w:highlight w:val="none"/>
        </w:rPr>
        <w:instrText xml:space="preserve"> PAGEREF _Toc29871 \h </w:instrText>
      </w:r>
      <w:r>
        <w:rPr>
          <w:rFonts w:hint="eastAsia"/>
          <w:b w:val="0"/>
          <w:bCs w:val="0"/>
          <w:color w:val="auto"/>
          <w:sz w:val="21"/>
          <w:szCs w:val="21"/>
          <w:highlight w:val="none"/>
        </w:rPr>
        <w:fldChar w:fldCharType="separate"/>
      </w:r>
      <w:r>
        <w:rPr>
          <w:rFonts w:hint="eastAsia"/>
          <w:b w:val="0"/>
          <w:bCs w:val="0"/>
          <w:color w:val="auto"/>
          <w:sz w:val="21"/>
          <w:szCs w:val="21"/>
          <w:highlight w:val="none"/>
        </w:rPr>
        <w:t>52</w:t>
      </w:r>
      <w:r>
        <w:rPr>
          <w:rFonts w:hint="eastAsia"/>
          <w:b w:val="0"/>
          <w:bCs w:val="0"/>
          <w:color w:val="auto"/>
          <w:sz w:val="21"/>
          <w:szCs w:val="21"/>
          <w:highlight w:val="none"/>
        </w:rPr>
        <w:fldChar w:fldCharType="end"/>
      </w:r>
      <w:r>
        <w:rPr>
          <w:rFonts w:hint="eastAsia"/>
          <w:b w:val="0"/>
          <w:bCs w:val="0"/>
          <w:color w:val="auto"/>
          <w:sz w:val="21"/>
          <w:szCs w:val="21"/>
          <w:highlight w:val="none"/>
        </w:rPr>
        <w:fldChar w:fldCharType="end"/>
      </w:r>
    </w:p>
    <w:p w14:paraId="71EF214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fldChar w:fldCharType="end"/>
      </w:r>
    </w:p>
    <w:p w14:paraId="7C339CC0">
      <w:pPr>
        <w:tabs>
          <w:tab w:val="left" w:pos="9040"/>
        </w:tabs>
        <w:adjustRightInd w:val="0"/>
        <w:snapToGrid w:val="0"/>
        <w:spacing w:before="162" w:beforeLines="50" w:after="162" w:afterLines="50" w:line="600" w:lineRule="exact"/>
        <w:ind w:left="230" w:leftChars="103" w:hanging="14" w:hangingChars="6"/>
        <w:rPr>
          <w:rFonts w:ascii="宋体" w:hAnsi="宋体" w:cs="宋体"/>
          <w:color w:val="auto"/>
          <w:sz w:val="24"/>
          <w:highlight w:val="none"/>
        </w:rPr>
      </w:pPr>
    </w:p>
    <w:p w14:paraId="68E69B1B">
      <w:pPr>
        <w:rPr>
          <w:rFonts w:hint="eastAsia" w:ascii="宋体" w:hAnsi="宋体" w:cs="宋体"/>
          <w:b/>
          <w:color w:val="auto"/>
          <w:sz w:val="32"/>
          <w:highlight w:val="none"/>
        </w:rPr>
      </w:pPr>
    </w:p>
    <w:p w14:paraId="3466CD6C">
      <w:pPr>
        <w:rPr>
          <w:rFonts w:hint="eastAsia" w:ascii="宋体" w:hAnsi="宋体" w:cs="宋体"/>
          <w:b/>
          <w:color w:val="auto"/>
          <w:sz w:val="32"/>
          <w:highlight w:val="none"/>
        </w:rPr>
      </w:pPr>
    </w:p>
    <w:p w14:paraId="60A04614">
      <w:pPr>
        <w:rPr>
          <w:rFonts w:hint="eastAsia" w:ascii="宋体" w:hAnsi="宋体" w:cs="宋体"/>
          <w:b/>
          <w:color w:val="auto"/>
          <w:sz w:val="32"/>
          <w:highlight w:val="none"/>
        </w:rPr>
      </w:pPr>
    </w:p>
    <w:p w14:paraId="457C75B9">
      <w:pPr>
        <w:rPr>
          <w:rFonts w:hint="eastAsia" w:ascii="宋体" w:hAnsi="宋体" w:cs="宋体"/>
          <w:b/>
          <w:color w:val="auto"/>
          <w:sz w:val="32"/>
          <w:highlight w:val="none"/>
        </w:rPr>
      </w:pPr>
    </w:p>
    <w:p w14:paraId="4DFA59F0">
      <w:pPr>
        <w:pStyle w:val="2"/>
        <w:keepLines w:val="0"/>
        <w:pageBreakBefore/>
        <w:spacing w:before="162" w:beforeLines="50" w:after="162" w:afterLines="50" w:line="440" w:lineRule="exact"/>
        <w:jc w:val="center"/>
        <w:rPr>
          <w:rFonts w:hint="eastAsia" w:ascii="宋体" w:hAnsi="宋体" w:cs="宋体"/>
          <w:color w:val="auto"/>
          <w:sz w:val="32"/>
          <w:szCs w:val="32"/>
          <w:highlight w:val="none"/>
        </w:rPr>
      </w:pPr>
      <w:bookmarkStart w:id="27" w:name="_Toc11406"/>
      <w:r>
        <w:rPr>
          <w:rFonts w:hint="eastAsia" w:ascii="宋体" w:hAnsi="宋体" w:cs="宋体"/>
          <w:color w:val="auto"/>
          <w:sz w:val="32"/>
          <w:szCs w:val="32"/>
          <w:highlight w:val="none"/>
        </w:rPr>
        <w:t>滁州学院2024年档案管理系统采购（一期）招标公告</w:t>
      </w:r>
      <w:bookmarkEnd w:id="27"/>
    </w:p>
    <w:p w14:paraId="4106DA71">
      <w:pPr>
        <w:spacing w:before="162" w:beforeLines="50" w:after="162" w:afterLines="50" w:line="440" w:lineRule="exact"/>
        <w:jc w:val="left"/>
        <w:outlineLvl w:val="0"/>
        <w:rPr>
          <w:rFonts w:hint="eastAsia" w:ascii="黑体" w:hAnsi="黑体" w:eastAsia="黑体" w:cs="黑体"/>
          <w:b/>
          <w:bCs/>
          <w:color w:val="auto"/>
          <w:szCs w:val="21"/>
          <w:highlight w:val="none"/>
        </w:rPr>
      </w:pPr>
      <w:bookmarkStart w:id="28" w:name="_Toc32697"/>
      <w:bookmarkStart w:id="29" w:name="_Toc4542"/>
      <w:r>
        <w:rPr>
          <w:rFonts w:hint="eastAsia" w:ascii="黑体" w:hAnsi="黑体" w:eastAsia="黑体" w:cs="黑体"/>
          <w:b/>
          <w:bCs/>
          <w:color w:val="auto"/>
          <w:szCs w:val="21"/>
          <w:highlight w:val="none"/>
        </w:rPr>
        <w:t>项目概况</w:t>
      </w:r>
      <w:bookmarkEnd w:id="28"/>
      <w:bookmarkEnd w:id="29"/>
    </w:p>
    <w:p w14:paraId="74B9E72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滁州学院2024年档案管理系统采购（一期）的潜在投标供应商应在滁州学院网站（http://zcc.chzu.edu.cn）资产与实验室管理处网页采购公告栏中下载文件。并于</w:t>
      </w:r>
      <w:r>
        <w:rPr>
          <w:rFonts w:hint="eastAsia" w:ascii="黑体" w:hAnsi="黑体" w:eastAsia="黑体" w:cs="黑体"/>
          <w:b/>
          <w:bCs/>
          <w:color w:val="auto"/>
          <w:szCs w:val="21"/>
          <w:highlight w:val="none"/>
        </w:rPr>
        <w:t>2024年</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 xml:space="preserve">月  </w:t>
      </w:r>
      <w:r>
        <w:rPr>
          <w:rFonts w:hint="eastAsia" w:ascii="黑体" w:hAnsi="黑体" w:eastAsia="黑体" w:cs="黑体"/>
          <w:b/>
          <w:bCs/>
          <w:color w:val="auto"/>
          <w:szCs w:val="21"/>
          <w:highlight w:val="none"/>
          <w:lang w:val="en-US" w:eastAsia="zh-CN"/>
        </w:rPr>
        <w:t>02</w:t>
      </w:r>
      <w:r>
        <w:rPr>
          <w:rFonts w:hint="eastAsia" w:ascii="黑体" w:hAnsi="黑体" w:eastAsia="黑体" w:cs="黑体"/>
          <w:b/>
          <w:bCs/>
          <w:color w:val="auto"/>
          <w:szCs w:val="21"/>
          <w:highlight w:val="none"/>
        </w:rPr>
        <w:t>日</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时00分</w:t>
      </w:r>
      <w:r>
        <w:rPr>
          <w:rFonts w:hint="eastAsia" w:ascii="宋体" w:hAnsi="宋体" w:cs="宋体"/>
          <w:color w:val="auto"/>
          <w:szCs w:val="21"/>
          <w:highlight w:val="none"/>
        </w:rPr>
        <w:t>（北京时间）前递交投标文件。</w:t>
      </w:r>
      <w:bookmarkStart w:id="30" w:name="_Toc28359002"/>
      <w:bookmarkStart w:id="31" w:name="_Toc35393790"/>
      <w:bookmarkStart w:id="32" w:name="_Toc28359079"/>
      <w:bookmarkStart w:id="33" w:name="_Toc5872"/>
      <w:bookmarkStart w:id="34" w:name="_Toc35393621"/>
      <w:bookmarkStart w:id="35" w:name="_Hlk24379207"/>
    </w:p>
    <w:p w14:paraId="4625532F">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36" w:name="_Toc10806"/>
      <w:bookmarkStart w:id="37" w:name="_Toc28710"/>
      <w:r>
        <w:rPr>
          <w:rFonts w:hint="eastAsia" w:ascii="黑体" w:hAnsi="黑体" w:eastAsia="黑体" w:cs="黑体"/>
          <w:b/>
          <w:bCs/>
          <w:color w:val="auto"/>
          <w:szCs w:val="21"/>
          <w:highlight w:val="none"/>
        </w:rPr>
        <w:t>一、项目基本情况</w:t>
      </w:r>
      <w:bookmarkEnd w:id="30"/>
      <w:bookmarkEnd w:id="31"/>
      <w:bookmarkEnd w:id="32"/>
      <w:bookmarkEnd w:id="33"/>
      <w:bookmarkEnd w:id="34"/>
      <w:bookmarkEnd w:id="36"/>
      <w:bookmarkEnd w:id="37"/>
    </w:p>
    <w:p w14:paraId="121235D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highlight w:val="none"/>
        </w:rPr>
        <w:t>2024CG-037</w:t>
      </w:r>
    </w:p>
    <w:p w14:paraId="0F75D0EB">
      <w:pPr>
        <w:pStyle w:val="21"/>
        <w:spacing w:before="0" w:line="440" w:lineRule="exact"/>
        <w:ind w:left="0" w:firstLine="420" w:firstLineChars="200"/>
        <w:rPr>
          <w:rFonts w:hint="eastAsia"/>
          <w:b w:val="0"/>
          <w:bCs w:val="0"/>
          <w:color w:val="auto"/>
          <w:kern w:val="2"/>
          <w:sz w:val="21"/>
          <w:szCs w:val="21"/>
          <w:highlight w:val="none"/>
          <w:lang w:val="en-US" w:bidi="ar-SA"/>
        </w:rPr>
      </w:pPr>
      <w:r>
        <w:rPr>
          <w:rFonts w:hint="eastAsia"/>
          <w:b w:val="0"/>
          <w:bCs w:val="0"/>
          <w:color w:val="auto"/>
          <w:kern w:val="2"/>
          <w:sz w:val="21"/>
          <w:szCs w:val="21"/>
          <w:highlight w:val="none"/>
          <w:lang w:val="en-US" w:bidi="ar-SA"/>
        </w:rPr>
        <w:t>项目名称：</w:t>
      </w:r>
      <w:bookmarkEnd w:id="35"/>
      <w:r>
        <w:rPr>
          <w:rFonts w:hint="eastAsia"/>
          <w:b w:val="0"/>
          <w:bCs w:val="0"/>
          <w:color w:val="auto"/>
          <w:kern w:val="2"/>
          <w:sz w:val="21"/>
          <w:szCs w:val="21"/>
          <w:highlight w:val="none"/>
          <w:lang w:val="en-US" w:bidi="ar-SA"/>
        </w:rPr>
        <w:t>滁州学院2024年档案管理系统采购（一期）</w:t>
      </w:r>
    </w:p>
    <w:p w14:paraId="4A7B52D7">
      <w:pPr>
        <w:pStyle w:val="21"/>
        <w:spacing w:before="0" w:line="440" w:lineRule="exact"/>
        <w:ind w:left="0" w:firstLine="420" w:firstLineChars="200"/>
        <w:rPr>
          <w:b w:val="0"/>
          <w:bCs w:val="0"/>
          <w:color w:val="auto"/>
          <w:kern w:val="2"/>
          <w:sz w:val="21"/>
          <w:szCs w:val="21"/>
          <w:highlight w:val="none"/>
          <w:lang w:val="en-US" w:bidi="ar-SA"/>
        </w:rPr>
      </w:pPr>
      <w:r>
        <w:rPr>
          <w:rFonts w:hint="eastAsia"/>
          <w:b w:val="0"/>
          <w:bCs w:val="0"/>
          <w:color w:val="auto"/>
          <w:kern w:val="2"/>
          <w:sz w:val="21"/>
          <w:szCs w:val="21"/>
          <w:highlight w:val="none"/>
          <w:lang w:val="en-US" w:bidi="ar-SA"/>
        </w:rPr>
        <w:t>项目预算：25万元</w:t>
      </w:r>
    </w:p>
    <w:p w14:paraId="5F37C9C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最高限价：贰拾伍万元整（</w:t>
      </w:r>
      <w:r>
        <w:rPr>
          <w:rFonts w:hint="eastAsia" w:ascii="宋体" w:hAnsi="宋体" w:cs="宋体"/>
          <w:color w:val="auto"/>
          <w:highlight w:val="none"/>
        </w:rPr>
        <w:t>250000.00元</w:t>
      </w:r>
      <w:r>
        <w:rPr>
          <w:rFonts w:hint="eastAsia" w:ascii="宋体" w:hAnsi="宋体" w:cs="宋体"/>
          <w:color w:val="auto"/>
          <w:szCs w:val="21"/>
          <w:highlight w:val="none"/>
        </w:rPr>
        <w:t>）</w:t>
      </w:r>
      <w:r>
        <w:rPr>
          <w:rFonts w:hint="eastAsia" w:ascii="宋体" w:hAnsi="宋体" w:cs="宋体"/>
          <w:color w:val="auto"/>
          <w:sz w:val="22"/>
          <w:szCs w:val="22"/>
          <w:highlight w:val="none"/>
          <w:u w:val="none" w:color="000000"/>
        </w:rPr>
        <w:t>，</w:t>
      </w:r>
      <w:r>
        <w:rPr>
          <w:rFonts w:hint="eastAsia" w:ascii="宋体" w:hAnsi="宋体" w:cs="宋体"/>
          <w:color w:val="auto"/>
          <w:highlight w:val="none"/>
        </w:rPr>
        <w:t>供应商的响应报价不得高于采购人发布的最高限价，否则按无效标处理</w:t>
      </w:r>
      <w:r>
        <w:rPr>
          <w:rFonts w:hint="eastAsia" w:ascii="宋体" w:hAnsi="宋体" w:cs="宋体"/>
          <w:color w:val="auto"/>
          <w:szCs w:val="21"/>
          <w:highlight w:val="none"/>
        </w:rPr>
        <w:t>。</w:t>
      </w:r>
    </w:p>
    <w:p w14:paraId="7ECDAC8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采购需求：具体详见采购文件中《档案信息化建设采购需求》。</w:t>
      </w:r>
    </w:p>
    <w:p w14:paraId="0923A0F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合同履行期限：签订合同后30个日历天供货安装完毕（在合同签订生效后180个日历天内具备系统验收条件）。 </w:t>
      </w:r>
    </w:p>
    <w:p w14:paraId="23005763">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38" w:name="_Toc28359080"/>
      <w:bookmarkStart w:id="39" w:name="_Toc35393791"/>
      <w:bookmarkStart w:id="40" w:name="_Toc28359003"/>
      <w:bookmarkStart w:id="41" w:name="_Toc26156"/>
      <w:bookmarkStart w:id="42" w:name="_Toc22650"/>
      <w:bookmarkStart w:id="43" w:name="_Toc35393622"/>
      <w:bookmarkStart w:id="44" w:name="_Toc2434"/>
      <w:r>
        <w:rPr>
          <w:rFonts w:hint="eastAsia" w:ascii="黑体" w:hAnsi="黑体" w:eastAsia="黑体" w:cs="黑体"/>
          <w:b/>
          <w:bCs/>
          <w:color w:val="auto"/>
          <w:szCs w:val="21"/>
          <w:highlight w:val="none"/>
        </w:rPr>
        <w:t>二、申请人的资格要求</w:t>
      </w:r>
      <w:bookmarkEnd w:id="38"/>
      <w:bookmarkEnd w:id="39"/>
      <w:bookmarkEnd w:id="40"/>
      <w:bookmarkEnd w:id="41"/>
      <w:bookmarkEnd w:id="42"/>
      <w:bookmarkEnd w:id="43"/>
      <w:bookmarkEnd w:id="44"/>
    </w:p>
    <w:p w14:paraId="160644ED">
      <w:pPr>
        <w:spacing w:line="440" w:lineRule="exact"/>
        <w:ind w:firstLine="420" w:firstLineChars="200"/>
        <w:jc w:val="left"/>
        <w:rPr>
          <w:rFonts w:hint="eastAsia" w:ascii="宋体" w:hAnsi="宋体" w:cs="宋体"/>
          <w:color w:val="auto"/>
          <w:szCs w:val="21"/>
          <w:highlight w:val="none"/>
        </w:rPr>
      </w:pPr>
      <w:bookmarkStart w:id="45" w:name="_Toc28359004"/>
      <w:bookmarkStart w:id="46" w:name="_Toc35393792"/>
      <w:bookmarkStart w:id="47" w:name="_Toc35393623"/>
      <w:bookmarkStart w:id="48" w:name="_Toc28359081"/>
      <w:r>
        <w:rPr>
          <w:rFonts w:hint="eastAsia" w:ascii="宋体" w:hAnsi="宋体" w:cs="宋体"/>
          <w:color w:val="auto"/>
          <w:szCs w:val="21"/>
          <w:highlight w:val="none"/>
        </w:rPr>
        <w:t>1、供应商必须具有承担民事责任能力，并且具有有效的营业执照（或三证合一有效证件）；</w:t>
      </w:r>
    </w:p>
    <w:p w14:paraId="180EB5B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2、本项目不接受联合体；</w:t>
      </w:r>
    </w:p>
    <w:p w14:paraId="19DF6C1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3、信誉要求：供应商不得存在以下情形：</w:t>
      </w:r>
    </w:p>
    <w:p w14:paraId="6A12725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①供应商被人民法院列入失信被执行人的；</w:t>
      </w:r>
    </w:p>
    <w:p w14:paraId="70AF8C2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②供应商或其法定代表人被人民检察院列入行贿犯罪档案的；</w:t>
      </w:r>
    </w:p>
    <w:p w14:paraId="7CA0018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③供应商被市场监督管理部门列入经营异常名录或者严重违法企业名单的；</w:t>
      </w:r>
    </w:p>
    <w:p w14:paraId="379C0DC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④供应商被税收部门列入重大税收违法案件当事人的；</w:t>
      </w:r>
    </w:p>
    <w:p w14:paraId="3D97147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⑤供应商被采购监管部门列入采购严重违法失信行为记录名单的；</w:t>
      </w:r>
    </w:p>
    <w:p w14:paraId="32C55DD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⑥在“信用中国”网站上披露仍在公示期的严重失信行为的；</w:t>
      </w:r>
    </w:p>
    <w:p w14:paraId="2724694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⑦被滁州市县两级行业主管部门及公管部门禁止在一定期限内参加采购活动且在禁止期限内的；</w:t>
      </w:r>
    </w:p>
    <w:p w14:paraId="3036DC1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⑧被滁州市县两级公管部门记入不良行为记录或者信用信息记录，且在披露期内的；</w:t>
      </w:r>
    </w:p>
    <w:p w14:paraId="6587DDB6">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49" w:name="_Toc15392"/>
      <w:bookmarkStart w:id="50" w:name="_Toc17463"/>
      <w:r>
        <w:rPr>
          <w:rFonts w:hint="eastAsia" w:ascii="黑体" w:hAnsi="黑体" w:eastAsia="黑体" w:cs="黑体"/>
          <w:b/>
          <w:bCs/>
          <w:color w:val="auto"/>
          <w:szCs w:val="21"/>
          <w:highlight w:val="none"/>
        </w:rPr>
        <w:t>三、获取采购文件</w:t>
      </w:r>
      <w:bookmarkEnd w:id="49"/>
      <w:bookmarkEnd w:id="50"/>
    </w:p>
    <w:p w14:paraId="4C0A484F">
      <w:pPr>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获取时间：2024年</w:t>
      </w:r>
      <w:r>
        <w:rPr>
          <w:rFonts w:hint="eastAsia" w:ascii="宋体" w:hAnsi="宋体" w:cs="宋体"/>
          <w:b/>
          <w:color w:val="auto"/>
          <w:kern w:val="0"/>
          <w:szCs w:val="21"/>
          <w:highlight w:val="none"/>
          <w:lang w:val="en-US" w:eastAsia="zh-CN"/>
        </w:rPr>
        <w:t>08</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lang w:val="en-US" w:eastAsia="zh-CN"/>
        </w:rPr>
        <w:t>13</w:t>
      </w:r>
      <w:r>
        <w:rPr>
          <w:rFonts w:hint="eastAsia" w:ascii="宋体" w:hAnsi="宋体" w:cs="宋体"/>
          <w:b/>
          <w:color w:val="auto"/>
          <w:kern w:val="0"/>
          <w:szCs w:val="21"/>
          <w:highlight w:val="none"/>
        </w:rPr>
        <w:t>日至2024年</w:t>
      </w:r>
      <w:r>
        <w:rPr>
          <w:rFonts w:hint="eastAsia" w:ascii="宋体" w:hAnsi="宋体" w:cs="宋体"/>
          <w:b/>
          <w:color w:val="auto"/>
          <w:kern w:val="0"/>
          <w:szCs w:val="21"/>
          <w:highlight w:val="none"/>
          <w:lang w:val="en-US" w:eastAsia="zh-CN"/>
        </w:rPr>
        <w:t>09</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lang w:val="en-US" w:eastAsia="zh-CN"/>
        </w:rPr>
        <w:t>02</w:t>
      </w:r>
      <w:r>
        <w:rPr>
          <w:rFonts w:hint="eastAsia" w:ascii="宋体" w:hAnsi="宋体" w:cs="宋体"/>
          <w:b/>
          <w:color w:val="auto"/>
          <w:kern w:val="0"/>
          <w:szCs w:val="21"/>
          <w:highlight w:val="none"/>
        </w:rPr>
        <w:t>日（提供期限自本公告发布之日起不得少于5个工作日）</w:t>
      </w:r>
    </w:p>
    <w:p w14:paraId="4B89332E">
      <w:pPr>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获取地点：滁州学院网站（http://zcc.chzu.edu.cn）资产与实验室管理处网页采购公告栏中下载采购文件。</w:t>
      </w:r>
    </w:p>
    <w:p w14:paraId="0FAAB6D7">
      <w:pPr>
        <w:pStyle w:val="3"/>
        <w:adjustRightInd w:val="0"/>
        <w:spacing w:before="0" w:after="0" w:line="440" w:lineRule="exact"/>
        <w:ind w:firstLine="420" w:firstLineChars="200"/>
        <w:jc w:val="left"/>
        <w:outlineLvl w:val="0"/>
        <w:rPr>
          <w:rFonts w:hint="eastAsia" w:ascii="宋体" w:hAnsi="宋体" w:eastAsia="宋体" w:cs="宋体"/>
          <w:b w:val="0"/>
          <w:color w:val="auto"/>
          <w:kern w:val="0"/>
          <w:sz w:val="21"/>
          <w:szCs w:val="21"/>
          <w:highlight w:val="none"/>
        </w:rPr>
      </w:pPr>
      <w:bookmarkStart w:id="51" w:name="_Toc27561"/>
      <w:bookmarkStart w:id="52" w:name="_Toc3822"/>
      <w:r>
        <w:rPr>
          <w:rFonts w:hint="eastAsia" w:ascii="宋体" w:hAnsi="宋体" w:eastAsia="宋体" w:cs="宋体"/>
          <w:b w:val="0"/>
          <w:color w:val="auto"/>
          <w:kern w:val="0"/>
          <w:sz w:val="21"/>
          <w:szCs w:val="21"/>
          <w:highlight w:val="none"/>
        </w:rPr>
        <w:t>发售方式：网上下载</w:t>
      </w:r>
      <w:bookmarkEnd w:id="51"/>
      <w:bookmarkEnd w:id="52"/>
    </w:p>
    <w:p w14:paraId="20811FE0">
      <w:pPr>
        <w:pStyle w:val="3"/>
        <w:adjustRightInd w:val="0"/>
        <w:spacing w:before="0" w:after="0" w:line="440" w:lineRule="exact"/>
        <w:ind w:firstLine="420" w:firstLineChars="200"/>
        <w:jc w:val="left"/>
        <w:rPr>
          <w:rFonts w:hint="eastAsia" w:ascii="宋体" w:hAnsi="宋体" w:eastAsia="宋体" w:cs="宋体"/>
          <w:b w:val="0"/>
          <w:color w:val="auto"/>
          <w:kern w:val="0"/>
          <w:sz w:val="21"/>
          <w:szCs w:val="21"/>
          <w:highlight w:val="none"/>
        </w:rPr>
      </w:pPr>
      <w:bookmarkStart w:id="53" w:name="_Toc498"/>
      <w:bookmarkStart w:id="54" w:name="_Toc27344"/>
      <w:r>
        <w:rPr>
          <w:rFonts w:hint="eastAsia" w:ascii="宋体" w:hAnsi="宋体" w:eastAsia="宋体" w:cs="宋体"/>
          <w:b w:val="0"/>
          <w:color w:val="auto"/>
          <w:kern w:val="0"/>
          <w:sz w:val="21"/>
          <w:szCs w:val="21"/>
          <w:highlight w:val="none"/>
        </w:rPr>
        <w:t>售价：0元</w:t>
      </w:r>
      <w:bookmarkEnd w:id="53"/>
      <w:bookmarkEnd w:id="54"/>
    </w:p>
    <w:p w14:paraId="10F091DA">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55" w:name="_Toc27215"/>
      <w:bookmarkStart w:id="56" w:name="_Toc22614"/>
      <w:r>
        <w:rPr>
          <w:rFonts w:hint="eastAsia" w:ascii="黑体" w:hAnsi="黑体" w:eastAsia="黑体" w:cs="黑体"/>
          <w:b/>
          <w:bCs/>
          <w:color w:val="auto"/>
          <w:szCs w:val="21"/>
          <w:highlight w:val="none"/>
        </w:rPr>
        <w:t>四、提交投标文件截止时间、开标时间和地点</w:t>
      </w:r>
      <w:bookmarkEnd w:id="55"/>
      <w:bookmarkEnd w:id="56"/>
    </w:p>
    <w:p w14:paraId="1CF6E70C">
      <w:pPr>
        <w:pStyle w:val="3"/>
        <w:adjustRightInd w:val="0"/>
        <w:spacing w:before="0" w:after="0" w:line="440" w:lineRule="exact"/>
        <w:ind w:firstLine="422" w:firstLineChars="200"/>
        <w:jc w:val="left"/>
        <w:rPr>
          <w:rFonts w:hint="eastAsia" w:ascii="宋体" w:hAnsi="宋体" w:eastAsia="宋体" w:cs="宋体"/>
          <w:b w:val="0"/>
          <w:color w:val="auto"/>
          <w:kern w:val="0"/>
          <w:sz w:val="21"/>
          <w:szCs w:val="21"/>
          <w:highlight w:val="none"/>
        </w:rPr>
      </w:pPr>
      <w:bookmarkStart w:id="57" w:name="_Toc8687"/>
      <w:bookmarkStart w:id="58" w:name="_Toc11394"/>
      <w:r>
        <w:rPr>
          <w:rFonts w:hint="eastAsia" w:ascii="宋体" w:hAnsi="宋体" w:eastAsia="宋体" w:cs="宋体"/>
          <w:bCs w:val="0"/>
          <w:color w:val="auto"/>
          <w:kern w:val="0"/>
          <w:sz w:val="21"/>
          <w:szCs w:val="21"/>
          <w:highlight w:val="none"/>
        </w:rPr>
        <w:t>2024年</w:t>
      </w:r>
      <w:r>
        <w:rPr>
          <w:rFonts w:hint="eastAsia" w:ascii="宋体" w:hAnsi="宋体" w:eastAsia="宋体" w:cs="宋体"/>
          <w:bCs w:val="0"/>
          <w:color w:val="auto"/>
          <w:kern w:val="0"/>
          <w:sz w:val="21"/>
          <w:szCs w:val="21"/>
          <w:highlight w:val="none"/>
          <w:lang w:val="en-US" w:eastAsia="zh-CN"/>
        </w:rPr>
        <w:t>09</w:t>
      </w:r>
      <w:r>
        <w:rPr>
          <w:rFonts w:hint="eastAsia" w:ascii="宋体" w:hAnsi="宋体" w:eastAsia="宋体" w:cs="宋体"/>
          <w:bCs w:val="0"/>
          <w:color w:val="auto"/>
          <w:kern w:val="0"/>
          <w:sz w:val="21"/>
          <w:szCs w:val="21"/>
          <w:highlight w:val="none"/>
        </w:rPr>
        <w:t>月</w:t>
      </w:r>
      <w:r>
        <w:rPr>
          <w:rFonts w:hint="eastAsia" w:ascii="宋体" w:hAnsi="宋体" w:eastAsia="宋体" w:cs="宋体"/>
          <w:bCs w:val="0"/>
          <w:color w:val="auto"/>
          <w:kern w:val="0"/>
          <w:sz w:val="21"/>
          <w:szCs w:val="21"/>
          <w:highlight w:val="none"/>
          <w:lang w:val="en-US" w:eastAsia="zh-CN"/>
        </w:rPr>
        <w:t>02</w:t>
      </w:r>
      <w:r>
        <w:rPr>
          <w:rFonts w:hint="eastAsia" w:ascii="宋体" w:hAnsi="宋体" w:eastAsia="宋体" w:cs="宋体"/>
          <w:bCs w:val="0"/>
          <w:color w:val="auto"/>
          <w:kern w:val="0"/>
          <w:sz w:val="21"/>
          <w:szCs w:val="21"/>
          <w:highlight w:val="none"/>
        </w:rPr>
        <w:t>日</w:t>
      </w:r>
      <w:r>
        <w:rPr>
          <w:rFonts w:hint="eastAsia" w:ascii="宋体" w:hAnsi="宋体" w:eastAsia="宋体" w:cs="宋体"/>
          <w:bCs w:val="0"/>
          <w:color w:val="auto"/>
          <w:kern w:val="0"/>
          <w:sz w:val="21"/>
          <w:szCs w:val="21"/>
          <w:highlight w:val="none"/>
          <w:lang w:val="en-US" w:eastAsia="zh-CN"/>
        </w:rPr>
        <w:t>09</w:t>
      </w:r>
      <w:r>
        <w:rPr>
          <w:rFonts w:hint="eastAsia" w:ascii="宋体" w:hAnsi="宋体" w:eastAsia="宋体" w:cs="宋体"/>
          <w:bCs w:val="0"/>
          <w:color w:val="auto"/>
          <w:kern w:val="0"/>
          <w:sz w:val="21"/>
          <w:szCs w:val="21"/>
          <w:highlight w:val="none"/>
        </w:rPr>
        <w:t>时00分（北京时间）</w:t>
      </w:r>
      <w:r>
        <w:rPr>
          <w:rFonts w:hint="eastAsia" w:ascii="宋体" w:hAnsi="宋体" w:eastAsia="宋体" w:cs="宋体"/>
          <w:b w:val="0"/>
          <w:color w:val="auto"/>
          <w:kern w:val="0"/>
          <w:sz w:val="21"/>
          <w:szCs w:val="21"/>
          <w:highlight w:val="none"/>
        </w:rPr>
        <w:t>（自采购文件开始发出之日起至投标供应商提交投标文件截止之日止，不得少于20日）</w:t>
      </w:r>
      <w:bookmarkEnd w:id="57"/>
      <w:bookmarkEnd w:id="58"/>
    </w:p>
    <w:p w14:paraId="17F59757">
      <w:pPr>
        <w:pStyle w:val="3"/>
        <w:adjustRightInd w:val="0"/>
        <w:spacing w:before="0" w:after="0" w:line="440" w:lineRule="exact"/>
        <w:ind w:firstLine="420" w:firstLineChars="200"/>
        <w:jc w:val="left"/>
        <w:outlineLvl w:val="0"/>
        <w:rPr>
          <w:rFonts w:hint="eastAsia" w:ascii="宋体" w:hAnsi="宋体" w:eastAsia="宋体" w:cs="宋体"/>
          <w:b w:val="0"/>
          <w:color w:val="auto"/>
          <w:kern w:val="0"/>
          <w:sz w:val="21"/>
          <w:szCs w:val="21"/>
          <w:highlight w:val="none"/>
        </w:rPr>
      </w:pPr>
      <w:bookmarkStart w:id="59" w:name="_Toc18970"/>
      <w:bookmarkStart w:id="60" w:name="_Toc183"/>
      <w:r>
        <w:rPr>
          <w:rFonts w:hint="eastAsia" w:ascii="宋体" w:hAnsi="宋体" w:eastAsia="宋体" w:cs="宋体"/>
          <w:b w:val="0"/>
          <w:color w:val="auto"/>
          <w:kern w:val="0"/>
          <w:sz w:val="21"/>
          <w:szCs w:val="21"/>
          <w:highlight w:val="none"/>
        </w:rPr>
        <w:t>地点：滁州市丰乐大道1899号皖东国际车城A区写字楼A6栋3楼</w:t>
      </w:r>
      <w:bookmarkEnd w:id="59"/>
      <w:bookmarkEnd w:id="60"/>
    </w:p>
    <w:p w14:paraId="73E9E26D">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61" w:name="_Toc23836"/>
      <w:bookmarkStart w:id="62" w:name="_Toc16611"/>
      <w:r>
        <w:rPr>
          <w:rFonts w:hint="eastAsia" w:ascii="黑体" w:hAnsi="黑体" w:eastAsia="黑体" w:cs="黑体"/>
          <w:b/>
          <w:bCs/>
          <w:color w:val="auto"/>
          <w:szCs w:val="21"/>
          <w:highlight w:val="none"/>
        </w:rPr>
        <w:t>五、公告期限</w:t>
      </w:r>
      <w:bookmarkEnd w:id="61"/>
      <w:bookmarkEnd w:id="62"/>
    </w:p>
    <w:p w14:paraId="3AB0A7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2309A6DE">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63" w:name="_Toc14682"/>
      <w:bookmarkStart w:id="64" w:name="_Toc6991"/>
      <w:r>
        <w:rPr>
          <w:rFonts w:hint="eastAsia" w:ascii="黑体" w:hAnsi="黑体" w:eastAsia="黑体" w:cs="黑体"/>
          <w:b/>
          <w:bCs/>
          <w:color w:val="auto"/>
          <w:szCs w:val="21"/>
          <w:highlight w:val="none"/>
        </w:rPr>
        <w:t>六、投标保证金金额及缴纳账户</w:t>
      </w:r>
      <w:bookmarkEnd w:id="63"/>
      <w:bookmarkEnd w:id="64"/>
    </w:p>
    <w:p w14:paraId="408029BC">
      <w:pPr>
        <w:spacing w:line="440" w:lineRule="exact"/>
        <w:ind w:firstLine="420" w:firstLineChars="200"/>
        <w:jc w:val="left"/>
        <w:outlineLvl w:val="2"/>
        <w:rPr>
          <w:rFonts w:hint="eastAsia" w:ascii="宋体" w:hAnsi="宋体" w:cs="宋体"/>
          <w:color w:val="auto"/>
          <w:szCs w:val="21"/>
          <w:highlight w:val="none"/>
        </w:rPr>
      </w:pPr>
      <w:bookmarkStart w:id="65" w:name="_Toc2881"/>
      <w:bookmarkStart w:id="66" w:name="_Toc31095"/>
      <w:r>
        <w:rPr>
          <w:rFonts w:hint="eastAsia" w:ascii="宋体" w:hAnsi="宋体" w:cs="宋体"/>
          <w:color w:val="auto"/>
          <w:szCs w:val="21"/>
          <w:highlight w:val="none"/>
        </w:rPr>
        <w:t>1.是否要求投标供应商提交投标保证金：</w:t>
      </w:r>
      <w:bookmarkEnd w:id="65"/>
      <w:bookmarkEnd w:id="66"/>
    </w:p>
    <w:p w14:paraId="28F9CCB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不要求，□要求。</w:t>
      </w:r>
    </w:p>
    <w:p w14:paraId="0F62613D">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67" w:name="_Toc3513"/>
      <w:bookmarkStart w:id="68" w:name="_Toc15560"/>
      <w:r>
        <w:rPr>
          <w:rFonts w:hint="eastAsia" w:ascii="黑体" w:hAnsi="黑体" w:eastAsia="黑体" w:cs="黑体"/>
          <w:b/>
          <w:bCs/>
          <w:color w:val="auto"/>
          <w:szCs w:val="21"/>
          <w:highlight w:val="none"/>
        </w:rPr>
        <w:t>七、联系方法</w:t>
      </w:r>
      <w:bookmarkEnd w:id="67"/>
      <w:bookmarkEnd w:id="68"/>
    </w:p>
    <w:p w14:paraId="275FD6D9">
      <w:pPr>
        <w:pStyle w:val="8"/>
        <w:spacing w:line="440" w:lineRule="exact"/>
        <w:ind w:firstLine="420" w:firstLineChars="200"/>
        <w:jc w:val="left"/>
        <w:outlineLvl w:val="2"/>
        <w:rPr>
          <w:rFonts w:hint="eastAsia" w:ascii="宋体" w:hAnsi="宋体" w:cs="宋体"/>
          <w:b w:val="0"/>
          <w:color w:val="auto"/>
          <w:sz w:val="21"/>
          <w:szCs w:val="21"/>
          <w:highlight w:val="none"/>
        </w:rPr>
      </w:pPr>
      <w:bookmarkStart w:id="69" w:name="_Toc10057"/>
      <w:bookmarkStart w:id="70" w:name="_Toc22939"/>
      <w:r>
        <w:rPr>
          <w:rFonts w:hint="eastAsia" w:ascii="宋体" w:hAnsi="宋体" w:cs="宋体"/>
          <w:b w:val="0"/>
          <w:color w:val="auto"/>
          <w:sz w:val="21"/>
          <w:szCs w:val="21"/>
          <w:highlight w:val="none"/>
        </w:rPr>
        <w:t>1、项目单位：资产与实验室管理处</w:t>
      </w:r>
      <w:bookmarkEnd w:id="69"/>
      <w:bookmarkEnd w:id="70"/>
      <w:r>
        <w:rPr>
          <w:rFonts w:hint="eastAsia" w:ascii="宋体" w:hAnsi="宋体" w:cs="宋体"/>
          <w:b w:val="0"/>
          <w:color w:val="auto"/>
          <w:sz w:val="21"/>
          <w:szCs w:val="21"/>
          <w:highlight w:val="none"/>
        </w:rPr>
        <w:t xml:space="preserve"> </w:t>
      </w:r>
    </w:p>
    <w:p w14:paraId="670D8448">
      <w:pPr>
        <w:pStyle w:val="8"/>
        <w:spacing w:line="440" w:lineRule="exact"/>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地址：安徽省滁州市会峰西路1号滁州学院会峰校区 </w:t>
      </w:r>
    </w:p>
    <w:p w14:paraId="58216B7E">
      <w:pPr>
        <w:pStyle w:val="8"/>
        <w:spacing w:line="440" w:lineRule="exact"/>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采购联系人：陈老师、王老师</w:t>
      </w:r>
    </w:p>
    <w:p w14:paraId="7645C7AD">
      <w:pPr>
        <w:pStyle w:val="8"/>
        <w:spacing w:line="440" w:lineRule="exact"/>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电话：0550-3512003、15855097225</w:t>
      </w:r>
    </w:p>
    <w:p w14:paraId="26842931">
      <w:pPr>
        <w:pStyle w:val="8"/>
        <w:spacing w:line="440" w:lineRule="exact"/>
        <w:ind w:firstLine="420" w:firstLineChars="200"/>
        <w:jc w:val="left"/>
        <w:outlineLvl w:val="2"/>
        <w:rPr>
          <w:rFonts w:hint="eastAsia" w:ascii="宋体" w:hAnsi="宋体" w:cs="宋体"/>
          <w:b w:val="0"/>
          <w:color w:val="auto"/>
          <w:sz w:val="21"/>
          <w:szCs w:val="21"/>
          <w:highlight w:val="none"/>
        </w:rPr>
      </w:pPr>
      <w:bookmarkStart w:id="71" w:name="_Toc23943"/>
      <w:bookmarkStart w:id="72" w:name="_Toc19481"/>
      <w:r>
        <w:rPr>
          <w:rFonts w:hint="eastAsia" w:ascii="宋体" w:hAnsi="宋体" w:cs="宋体"/>
          <w:b w:val="0"/>
          <w:color w:val="auto"/>
          <w:sz w:val="21"/>
          <w:szCs w:val="21"/>
          <w:highlight w:val="none"/>
        </w:rPr>
        <w:t>2、采购代理机构：安徽立地工程咨询有限公司</w:t>
      </w:r>
      <w:bookmarkEnd w:id="71"/>
      <w:bookmarkEnd w:id="72"/>
    </w:p>
    <w:p w14:paraId="4013BEEF">
      <w:pPr>
        <w:pStyle w:val="8"/>
        <w:spacing w:line="440" w:lineRule="exact"/>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地址：滁州市丰乐大道1899号皖东国际车城A区写字楼A6栋3楼</w:t>
      </w:r>
    </w:p>
    <w:p w14:paraId="54FF74BC">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联系人：全晨曦</w:t>
      </w:r>
    </w:p>
    <w:p w14:paraId="20417931">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电话：18075270227、13965950189</w:t>
      </w:r>
    </w:p>
    <w:p w14:paraId="4C3322C4">
      <w:pPr>
        <w:spacing w:before="162" w:beforeLines="50" w:after="162" w:afterLines="50" w:line="440" w:lineRule="exact"/>
        <w:jc w:val="left"/>
        <w:outlineLvl w:val="1"/>
        <w:rPr>
          <w:rFonts w:hint="eastAsia" w:ascii="黑体" w:hAnsi="黑体" w:eastAsia="黑体" w:cs="黑体"/>
          <w:b/>
          <w:bCs/>
          <w:color w:val="auto"/>
          <w:szCs w:val="21"/>
          <w:highlight w:val="none"/>
        </w:rPr>
      </w:pPr>
      <w:bookmarkStart w:id="73" w:name="_Toc27554"/>
      <w:bookmarkStart w:id="74" w:name="_Toc14011"/>
      <w:r>
        <w:rPr>
          <w:rFonts w:hint="eastAsia" w:ascii="黑体" w:hAnsi="黑体" w:eastAsia="黑体" w:cs="黑体"/>
          <w:b/>
          <w:bCs/>
          <w:color w:val="auto"/>
          <w:szCs w:val="21"/>
          <w:highlight w:val="none"/>
        </w:rPr>
        <w:t>八、公告发布媒体</w:t>
      </w:r>
      <w:bookmarkEnd w:id="73"/>
      <w:bookmarkEnd w:id="74"/>
    </w:p>
    <w:p w14:paraId="7F44EDF8">
      <w:pPr>
        <w:spacing w:line="440" w:lineRule="exact"/>
        <w:ind w:firstLine="420" w:firstLineChars="200"/>
        <w:jc w:val="left"/>
        <w:rPr>
          <w:rFonts w:hint="eastAsia" w:ascii="宋体" w:hAnsi="宋体" w:cs="宋体"/>
          <w:color w:val="auto"/>
          <w:szCs w:val="21"/>
          <w:highlight w:val="none"/>
        </w:rPr>
        <w:sectPr>
          <w:headerReference r:id="rId3" w:type="default"/>
          <w:footerReference r:id="rId4" w:type="default"/>
          <w:pgSz w:w="11906" w:h="16838"/>
          <w:pgMar w:top="1134" w:right="1417" w:bottom="1134" w:left="1417" w:header="850" w:footer="992" w:gutter="0"/>
          <w:cols w:space="720" w:num="1"/>
          <w:docGrid w:type="lines" w:linePitch="324" w:charSpace="0"/>
        </w:sectPr>
      </w:pPr>
      <w:r>
        <w:rPr>
          <w:rFonts w:hint="eastAsia" w:ascii="宋体" w:hAnsi="宋体" w:cs="宋体"/>
          <w:color w:val="auto"/>
          <w:szCs w:val="21"/>
          <w:highlight w:val="none"/>
        </w:rPr>
        <w:t>滁州学院网站、安徽省招标投标信息网</w:t>
      </w:r>
    </w:p>
    <w:bookmarkEnd w:id="45"/>
    <w:bookmarkEnd w:id="46"/>
    <w:bookmarkEnd w:id="47"/>
    <w:bookmarkEnd w:id="48"/>
    <w:p w14:paraId="13BFD5DB">
      <w:pPr>
        <w:jc w:val="center"/>
        <w:outlineLvl w:val="0"/>
        <w:rPr>
          <w:rFonts w:hint="eastAsia" w:ascii="宋体" w:hAnsi="宋体" w:cs="宋体"/>
          <w:b/>
          <w:color w:val="auto"/>
          <w:sz w:val="32"/>
          <w:highlight w:val="none"/>
        </w:rPr>
      </w:pPr>
      <w:bookmarkStart w:id="75" w:name="_Toc26923"/>
      <w:r>
        <w:rPr>
          <w:rFonts w:hint="eastAsia" w:ascii="宋体" w:hAnsi="宋体" w:cs="宋体"/>
          <w:b/>
          <w:color w:val="auto"/>
          <w:sz w:val="32"/>
          <w:highlight w:val="none"/>
        </w:rPr>
        <w:t>A、投标须知前附表</w:t>
      </w:r>
      <w:bookmarkEnd w:id="75"/>
    </w:p>
    <w:tbl>
      <w:tblPr>
        <w:tblStyle w:val="27"/>
        <w:tblW w:w="10118" w:type="dxa"/>
        <w:jc w:val="center"/>
        <w:tblLayout w:type="fixed"/>
        <w:tblCellMar>
          <w:top w:w="0" w:type="dxa"/>
          <w:left w:w="0" w:type="dxa"/>
          <w:bottom w:w="0" w:type="dxa"/>
          <w:right w:w="0" w:type="dxa"/>
        </w:tblCellMar>
      </w:tblPr>
      <w:tblGrid>
        <w:gridCol w:w="802"/>
        <w:gridCol w:w="1461"/>
        <w:gridCol w:w="7855"/>
      </w:tblGrid>
      <w:tr w14:paraId="7BFE6587">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6443FC9A">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编号</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BAC80EF">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内容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EE9A3DD">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说明与要求</w:t>
            </w:r>
          </w:p>
        </w:tc>
      </w:tr>
      <w:tr w14:paraId="0983E2E3">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E40E5DE">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729C6AE9">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65355BA3">
            <w:pPr>
              <w:spacing w:line="440" w:lineRule="exact"/>
              <w:rPr>
                <w:rFonts w:hint="eastAsia" w:ascii="宋体" w:hAnsi="宋体" w:cs="宋体"/>
                <w:color w:val="auto"/>
                <w:kern w:val="0"/>
                <w:szCs w:val="21"/>
                <w:highlight w:val="none"/>
              </w:rPr>
            </w:pPr>
            <w:r>
              <w:rPr>
                <w:rFonts w:hint="eastAsia" w:ascii="宋体" w:hAnsi="宋体" w:cs="宋体"/>
                <w:color w:val="auto"/>
                <w:szCs w:val="21"/>
                <w:highlight w:val="none"/>
              </w:rPr>
              <w:t>滁州学院2024年档案管理系统采购（一期）</w:t>
            </w:r>
          </w:p>
        </w:tc>
      </w:tr>
      <w:tr w14:paraId="1E79AF15">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081F0AFC">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4EDCD157">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C24D626">
            <w:pPr>
              <w:spacing w:line="440" w:lineRule="exact"/>
              <w:rPr>
                <w:rFonts w:ascii="宋体" w:hAnsi="宋体" w:cs="宋体"/>
                <w:color w:val="auto"/>
                <w:szCs w:val="21"/>
                <w:highlight w:val="none"/>
              </w:rPr>
            </w:pPr>
            <w:r>
              <w:rPr>
                <w:rFonts w:hint="eastAsia" w:ascii="宋体" w:hAnsi="宋体" w:cs="宋体"/>
                <w:color w:val="auto"/>
                <w:szCs w:val="21"/>
                <w:highlight w:val="none"/>
              </w:rPr>
              <w:t>2024CG-037</w:t>
            </w:r>
          </w:p>
        </w:tc>
      </w:tr>
      <w:tr w14:paraId="7881E6EC">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12501DA">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7051F6D">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服务期限</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704A00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签订合同后30个日历天供货安装完毕（在合同签订生效后180个日历天内具备系统验收条件）。 </w:t>
            </w:r>
          </w:p>
        </w:tc>
      </w:tr>
      <w:tr w14:paraId="3C78C24B">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95AFDA2">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64D87967">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服务地点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634D50A1">
            <w:pPr>
              <w:wordWrap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滁州学院会峰校区行政楼601室</w:t>
            </w:r>
          </w:p>
        </w:tc>
      </w:tr>
      <w:tr w14:paraId="65174F0A">
        <w:trPr>
          <w:trHeight w:val="1341"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797F3CB">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616CF5D">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采购人联系人及电话</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995E28D">
            <w:pPr>
              <w:pStyle w:val="15"/>
              <w:wordWrap w:val="0"/>
              <w:spacing w:line="440" w:lineRule="exact"/>
              <w:rPr>
                <w:rFonts w:hint="eastAsia" w:hAnsi="宋体" w:cs="宋体"/>
                <w:color w:val="auto"/>
                <w:szCs w:val="21"/>
                <w:highlight w:val="none"/>
              </w:rPr>
            </w:pPr>
            <w:r>
              <w:rPr>
                <w:rFonts w:hint="eastAsia" w:hAnsi="宋体" w:cs="宋体"/>
                <w:color w:val="auto"/>
                <w:szCs w:val="21"/>
                <w:highlight w:val="none"/>
              </w:rPr>
              <w:t>采购人名称：资产与实验室管理处</w:t>
            </w:r>
          </w:p>
          <w:p w14:paraId="74DEB1BC">
            <w:pPr>
              <w:pStyle w:val="15"/>
              <w:wordWrap w:val="0"/>
              <w:spacing w:line="440" w:lineRule="exact"/>
              <w:rPr>
                <w:rFonts w:hint="eastAsia" w:hAnsi="宋体" w:cs="宋体"/>
                <w:color w:val="auto"/>
                <w:szCs w:val="21"/>
                <w:highlight w:val="none"/>
              </w:rPr>
            </w:pPr>
            <w:r>
              <w:rPr>
                <w:rFonts w:hint="eastAsia" w:hAnsi="宋体" w:cs="宋体"/>
                <w:color w:val="auto"/>
                <w:szCs w:val="21"/>
                <w:highlight w:val="none"/>
              </w:rPr>
              <w:t>联系人：陈老师、王老师</w:t>
            </w:r>
          </w:p>
          <w:p w14:paraId="52C0247E">
            <w:pPr>
              <w:pStyle w:val="15"/>
              <w:wordWrap w:val="0"/>
              <w:spacing w:line="440" w:lineRule="exact"/>
              <w:rPr>
                <w:rFonts w:hint="eastAsia" w:hAnsi="宋体" w:cs="宋体"/>
                <w:color w:val="auto"/>
                <w:szCs w:val="21"/>
                <w:highlight w:val="none"/>
              </w:rPr>
            </w:pPr>
            <w:r>
              <w:rPr>
                <w:rFonts w:hint="eastAsia" w:hAnsi="宋体" w:cs="宋体"/>
                <w:color w:val="auto"/>
                <w:szCs w:val="21"/>
                <w:highlight w:val="none"/>
              </w:rPr>
              <w:t>电话：0550-3512003、15855097225</w:t>
            </w:r>
          </w:p>
        </w:tc>
      </w:tr>
      <w:tr w14:paraId="6E395567">
        <w:tblPrEx>
          <w:tblCellMar>
            <w:top w:w="0" w:type="dxa"/>
            <w:left w:w="0" w:type="dxa"/>
            <w:bottom w:w="0" w:type="dxa"/>
            <w:right w:w="0" w:type="dxa"/>
          </w:tblCellMar>
        </w:tblPrEx>
        <w:trPr>
          <w:trHeight w:val="98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460B0B33">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25C49CF">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代理机构联系人及电话</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2A97A1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招标代理机构名称：安徽立地工程咨询有限公司 </w:t>
            </w:r>
          </w:p>
          <w:p w14:paraId="302BFD3E">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联系人：全晨曦     电话：18075270227、13965950189</w:t>
            </w:r>
          </w:p>
        </w:tc>
      </w:tr>
      <w:tr w14:paraId="237513FA">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56A1491">
            <w:pPr>
              <w:pStyle w:val="26"/>
              <w:spacing w:line="440" w:lineRule="exact"/>
              <w:ind w:firstLine="0" w:firstLineChars="0"/>
              <w:jc w:val="center"/>
              <w:rPr>
                <w:rFonts w:hint="eastAsia" w:hAnsi="宋体" w:cs="宋体"/>
                <w:color w:val="auto"/>
                <w:kern w:val="0"/>
                <w:sz w:val="21"/>
                <w:szCs w:val="21"/>
                <w:highlight w:val="none"/>
              </w:rPr>
            </w:pPr>
            <w:r>
              <w:rPr>
                <w:rFonts w:hint="eastAsia" w:hAnsi="宋体" w:cs="宋体"/>
                <w:color w:val="auto"/>
                <w:kern w:val="0"/>
                <w:sz w:val="21"/>
                <w:szCs w:val="21"/>
                <w:highlight w:val="none"/>
              </w:rPr>
              <w:t>7</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51334FC">
            <w:pPr>
              <w:pStyle w:val="15"/>
              <w:wordWrap w:val="0"/>
              <w:spacing w:line="440" w:lineRule="exact"/>
              <w:jc w:val="center"/>
              <w:rPr>
                <w:rFonts w:hint="eastAsia" w:hAnsi="宋体" w:cs="宋体"/>
                <w:color w:val="auto"/>
                <w:szCs w:val="21"/>
                <w:highlight w:val="none"/>
              </w:rPr>
            </w:pPr>
            <w:r>
              <w:rPr>
                <w:rFonts w:hint="eastAsia" w:hAnsi="宋体" w:cs="宋体"/>
                <w:color w:val="auto"/>
                <w:szCs w:val="21"/>
                <w:highlight w:val="none"/>
              </w:rPr>
              <w:t>资金来源</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47663084">
            <w:pPr>
              <w:pStyle w:val="15"/>
              <w:wordWrap w:val="0"/>
              <w:spacing w:line="440" w:lineRule="exact"/>
              <w:rPr>
                <w:rFonts w:hint="eastAsia" w:hAnsi="宋体" w:cs="宋体"/>
                <w:color w:val="auto"/>
                <w:szCs w:val="21"/>
                <w:highlight w:val="none"/>
              </w:rPr>
            </w:pPr>
            <w:r>
              <w:rPr>
                <w:rFonts w:hint="eastAsia" w:hAnsi="宋体" w:cs="宋体"/>
                <w:color w:val="auto"/>
                <w:szCs w:val="21"/>
                <w:highlight w:val="none"/>
              </w:rPr>
              <w:t>财政资金</w:t>
            </w:r>
          </w:p>
        </w:tc>
      </w:tr>
      <w:tr w14:paraId="094B130C">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57556FE4">
            <w:pPr>
              <w:pStyle w:val="26"/>
              <w:spacing w:line="440" w:lineRule="exact"/>
              <w:ind w:firstLine="0" w:firstLineChars="0"/>
              <w:jc w:val="center"/>
              <w:rPr>
                <w:rFonts w:hint="eastAsia" w:hAnsi="宋体" w:cs="宋体"/>
                <w:color w:val="auto"/>
                <w:kern w:val="0"/>
                <w:sz w:val="21"/>
                <w:szCs w:val="21"/>
                <w:highlight w:val="none"/>
              </w:rPr>
            </w:pPr>
            <w:r>
              <w:rPr>
                <w:rFonts w:hint="eastAsia" w:hAnsi="宋体" w:cs="宋体"/>
                <w:color w:val="auto"/>
                <w:kern w:val="0"/>
                <w:sz w:val="21"/>
                <w:szCs w:val="21"/>
                <w:highlight w:val="none"/>
              </w:rPr>
              <w:t>8</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C8720A6">
            <w:pPr>
              <w:pStyle w:val="15"/>
              <w:wordWrap w:val="0"/>
              <w:spacing w:line="440" w:lineRule="exact"/>
              <w:jc w:val="center"/>
              <w:rPr>
                <w:rFonts w:hint="eastAsia" w:hAnsi="宋体" w:cs="宋体"/>
                <w:b/>
                <w:bCs/>
                <w:color w:val="auto"/>
                <w:szCs w:val="21"/>
                <w:highlight w:val="none"/>
              </w:rPr>
            </w:pPr>
            <w:r>
              <w:rPr>
                <w:rFonts w:hint="eastAsia" w:hAnsi="宋体" w:cs="宋体"/>
                <w:b/>
                <w:bCs/>
                <w:color w:val="auto"/>
                <w:szCs w:val="21"/>
                <w:highlight w:val="none"/>
              </w:rPr>
              <w:t>采购预算</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615EF23">
            <w:pPr>
              <w:pStyle w:val="15"/>
              <w:wordWrap w:val="0"/>
              <w:spacing w:line="440" w:lineRule="exact"/>
              <w:rPr>
                <w:rFonts w:hint="eastAsia" w:hAnsi="宋体" w:cs="宋体"/>
                <w:b/>
                <w:bCs/>
                <w:color w:val="auto"/>
                <w:szCs w:val="21"/>
                <w:highlight w:val="none"/>
              </w:rPr>
            </w:pPr>
            <w:r>
              <w:rPr>
                <w:rFonts w:hint="eastAsia" w:hAnsi="宋体" w:cs="宋体"/>
                <w:b/>
                <w:bCs/>
                <w:color w:val="auto"/>
                <w:szCs w:val="21"/>
                <w:highlight w:val="none"/>
              </w:rPr>
              <w:t>250000.00元。</w:t>
            </w:r>
          </w:p>
        </w:tc>
      </w:tr>
      <w:tr w14:paraId="50E12CAA">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45ABDB50">
            <w:pPr>
              <w:pStyle w:val="26"/>
              <w:spacing w:line="440" w:lineRule="exact"/>
              <w:ind w:firstLine="0" w:firstLineChars="0"/>
              <w:jc w:val="center"/>
              <w:rPr>
                <w:rFonts w:hint="eastAsia" w:hAnsi="宋体" w:cs="宋体"/>
                <w:color w:val="auto"/>
                <w:kern w:val="0"/>
                <w:sz w:val="21"/>
                <w:szCs w:val="21"/>
                <w:highlight w:val="none"/>
              </w:rPr>
            </w:pPr>
            <w:r>
              <w:rPr>
                <w:rFonts w:hint="eastAsia" w:hAnsi="宋体" w:cs="宋体"/>
                <w:color w:val="auto"/>
                <w:kern w:val="0"/>
                <w:sz w:val="21"/>
                <w:szCs w:val="21"/>
                <w:highlight w:val="none"/>
              </w:rPr>
              <w:t>9</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EEC18B4">
            <w:pPr>
              <w:pStyle w:val="15"/>
              <w:wordWrap w:val="0"/>
              <w:spacing w:line="440" w:lineRule="exact"/>
              <w:jc w:val="center"/>
              <w:rPr>
                <w:rFonts w:hint="eastAsia" w:hAnsi="宋体" w:cs="宋体"/>
                <w:b/>
                <w:bCs/>
                <w:color w:val="auto"/>
                <w:szCs w:val="21"/>
                <w:highlight w:val="none"/>
              </w:rPr>
            </w:pPr>
            <w:r>
              <w:rPr>
                <w:rFonts w:hint="eastAsia" w:hAnsi="宋体" w:cs="宋体"/>
                <w:b/>
                <w:bCs/>
                <w:color w:val="auto"/>
                <w:szCs w:val="21"/>
                <w:highlight w:val="none"/>
              </w:rPr>
              <w:t>最高限价</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66A0CED7">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贰拾伍万元整（250000.00元），供应商的响应报价不得高于采购人发布的最高限价，否则按无效标处理。</w:t>
            </w:r>
          </w:p>
        </w:tc>
      </w:tr>
      <w:tr w14:paraId="720BD3CF">
        <w:tblPrEx>
          <w:tblCellMar>
            <w:top w:w="0" w:type="dxa"/>
            <w:left w:w="0" w:type="dxa"/>
            <w:bottom w:w="0" w:type="dxa"/>
            <w:right w:w="0" w:type="dxa"/>
          </w:tblCellMar>
        </w:tblPrEx>
        <w:trPr>
          <w:trHeight w:val="1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4BF7D3DB">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BB464FB">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采购需求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9B9D6FC">
            <w:pPr>
              <w:pStyle w:val="15"/>
              <w:wordWrap w:val="0"/>
              <w:spacing w:line="440" w:lineRule="exact"/>
              <w:rPr>
                <w:rFonts w:hint="eastAsia" w:hAnsi="宋体" w:cs="宋体"/>
                <w:color w:val="auto"/>
                <w:kern w:val="0"/>
                <w:szCs w:val="21"/>
                <w:highlight w:val="none"/>
              </w:rPr>
            </w:pPr>
            <w:r>
              <w:rPr>
                <w:rFonts w:hint="eastAsia" w:hAnsi="宋体" w:cs="宋体"/>
                <w:color w:val="auto"/>
                <w:szCs w:val="21"/>
                <w:highlight w:val="none"/>
              </w:rPr>
              <w:t>具体详见采购文件中《采购需求及技术参数要求》。</w:t>
            </w:r>
          </w:p>
        </w:tc>
      </w:tr>
      <w:tr w14:paraId="6020B72D">
        <w:tblPrEx>
          <w:tblCellMar>
            <w:top w:w="0" w:type="dxa"/>
            <w:left w:w="0" w:type="dxa"/>
            <w:bottom w:w="0" w:type="dxa"/>
            <w:right w:w="0" w:type="dxa"/>
          </w:tblCellMar>
        </w:tblPrEx>
        <w:trPr>
          <w:trHeight w:val="229"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FEF35E6">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F39687C">
            <w:pPr>
              <w:pStyle w:val="15"/>
              <w:wordWrap w:val="0"/>
              <w:spacing w:line="440" w:lineRule="exact"/>
              <w:jc w:val="center"/>
              <w:rPr>
                <w:rFonts w:hint="eastAsia" w:hAnsi="宋体" w:cs="宋体"/>
                <w:color w:val="auto"/>
                <w:kern w:val="0"/>
                <w:szCs w:val="21"/>
                <w:highlight w:val="none"/>
              </w:rPr>
            </w:pPr>
            <w:r>
              <w:rPr>
                <w:rFonts w:hint="eastAsia" w:hAnsi="宋体" w:cs="宋体"/>
                <w:color w:val="auto"/>
                <w:szCs w:val="21"/>
                <w:highlight w:val="none"/>
              </w:rPr>
              <w:t>招标方式</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B9D414D">
            <w:pPr>
              <w:pStyle w:val="15"/>
              <w:wordWrap w:val="0"/>
              <w:spacing w:line="440" w:lineRule="exact"/>
              <w:rPr>
                <w:rFonts w:hint="eastAsia" w:hAnsi="宋体" w:cs="宋体"/>
                <w:color w:val="auto"/>
                <w:kern w:val="0"/>
                <w:szCs w:val="21"/>
                <w:highlight w:val="none"/>
              </w:rPr>
            </w:pPr>
            <w:r>
              <w:rPr>
                <w:rFonts w:hint="eastAsia" w:hAnsi="宋体" w:cs="宋体"/>
                <w:color w:val="auto"/>
                <w:szCs w:val="21"/>
                <w:highlight w:val="none"/>
              </w:rPr>
              <w:t>公开招标</w:t>
            </w:r>
          </w:p>
        </w:tc>
      </w:tr>
      <w:tr w14:paraId="1BA1B294">
        <w:tblPrEx>
          <w:tblCellMar>
            <w:top w:w="0" w:type="dxa"/>
            <w:left w:w="0" w:type="dxa"/>
            <w:bottom w:w="0" w:type="dxa"/>
            <w:right w:w="0" w:type="dxa"/>
          </w:tblCellMar>
        </w:tblPrEx>
        <w:trPr>
          <w:trHeight w:val="829"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41DD5BFD">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0B9C848">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投标供应商资质要求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64739B12">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1、供应商必须具有承担民事责任能力，并且具有有效的营业执照（或三证合一有效证件）；</w:t>
            </w:r>
          </w:p>
          <w:p w14:paraId="1C41D3E8">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2、本项目不接受联合体；</w:t>
            </w:r>
          </w:p>
          <w:p w14:paraId="08760F9B">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3、信誉要求：供应商不得存在以下情形：</w:t>
            </w:r>
          </w:p>
          <w:p w14:paraId="3EBB3A7F">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①供应商被人民法院列入失信被执行人的；</w:t>
            </w:r>
          </w:p>
          <w:p w14:paraId="0440B8BD">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②供应商或其法定代表人被人民检察院列入行贿犯罪档案的；</w:t>
            </w:r>
          </w:p>
          <w:p w14:paraId="16826228">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③供应商被市场监督管理部门列入经营异常名录或者严重违法企业名单的；</w:t>
            </w:r>
          </w:p>
          <w:p w14:paraId="5D0529A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④供应商被税收部门列入重大税收违法案件当事人的；</w:t>
            </w:r>
          </w:p>
          <w:p w14:paraId="16EDD54C">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⑤供应商被采购监管部门列入采购严重违法失信行为记录名单的；</w:t>
            </w:r>
          </w:p>
          <w:p w14:paraId="001EA741">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⑥在“信用中国”网站上披露仍在公示期的严重失信行为的；</w:t>
            </w:r>
          </w:p>
          <w:p w14:paraId="1C1E9070">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⑦被滁州市县两级行业主管部门及公管部门禁止在一定期限内参加采购活动且在禁止期限内的；</w:t>
            </w:r>
          </w:p>
          <w:p w14:paraId="741A5D9A">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⑧被滁州市县两级公管部门记入不良行为记录或者信用信息记录，且在披露期内的；</w:t>
            </w:r>
          </w:p>
        </w:tc>
      </w:tr>
      <w:tr w14:paraId="7DC1E433">
        <w:trPr>
          <w:trHeight w:val="413"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576BD156">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461" w:type="dxa"/>
            <w:tcBorders>
              <w:top w:val="single" w:color="auto" w:sz="8" w:space="0"/>
              <w:left w:val="single" w:color="auto" w:sz="4" w:space="0"/>
              <w:bottom w:val="single" w:color="auto" w:sz="8" w:space="0"/>
              <w:right w:val="single" w:color="auto" w:sz="4" w:space="0"/>
            </w:tcBorders>
            <w:noWrap w:val="0"/>
            <w:vAlign w:val="bottom"/>
          </w:tcPr>
          <w:p w14:paraId="5FDACD28">
            <w:pPr>
              <w:pStyle w:val="16"/>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投标文件份数</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921D6AE">
            <w:pPr>
              <w:pStyle w:val="16"/>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正本</w:t>
            </w:r>
            <w:r>
              <w:rPr>
                <w:rFonts w:hint="eastAsia" w:ascii="宋体" w:hAnsi="宋体" w:eastAsia="宋体" w:cs="宋体"/>
                <w:color w:val="auto"/>
                <w:kern w:val="0"/>
                <w:sz w:val="21"/>
                <w:szCs w:val="21"/>
                <w:highlight w:val="none"/>
                <w:u w:val="single"/>
              </w:rPr>
              <w:t xml:space="preserve"> 一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二 </w:t>
            </w:r>
            <w:r>
              <w:rPr>
                <w:rFonts w:hint="eastAsia" w:ascii="宋体" w:hAnsi="宋体" w:eastAsia="宋体" w:cs="宋体"/>
                <w:color w:val="auto"/>
                <w:kern w:val="0"/>
                <w:sz w:val="21"/>
                <w:szCs w:val="21"/>
                <w:highlight w:val="none"/>
              </w:rPr>
              <w:t>份。</w:t>
            </w:r>
          </w:p>
        </w:tc>
      </w:tr>
      <w:tr w14:paraId="219687A0">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5DB8FA69">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7D53B7F">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勘查现场</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0B816FC3">
            <w:pPr>
              <w:spacing w:line="44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不再集中召开招标答疑会；投标供应商自行组织勘察现场。</w:t>
            </w:r>
          </w:p>
        </w:tc>
      </w:tr>
      <w:tr w14:paraId="5587EC1E">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9AB5867">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50E744A0">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质疑答疑</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796B4191">
            <w:pPr>
              <w:spacing w:line="440" w:lineRule="exact"/>
              <w:jc w:val="left"/>
              <w:rPr>
                <w:rFonts w:hint="eastAsia" w:ascii="宋体" w:hAnsi="宋体" w:cs="宋体"/>
                <w:b/>
                <w:bCs/>
                <w:color w:val="auto"/>
                <w:szCs w:val="21"/>
                <w:highlight w:val="none"/>
              </w:rPr>
            </w:pPr>
            <w:r>
              <w:rPr>
                <w:rFonts w:hint="eastAsia" w:ascii="宋体" w:hAnsi="宋体" w:cs="宋体"/>
                <w:bCs/>
                <w:color w:val="auto"/>
                <w:szCs w:val="21"/>
                <w:highlight w:val="none"/>
              </w:rPr>
              <w:t>请于</w:t>
            </w:r>
            <w:r>
              <w:rPr>
                <w:rFonts w:hint="eastAsia" w:ascii="宋体" w:hAnsi="宋体" w:cs="宋体"/>
                <w:b/>
                <w:color w:val="auto"/>
                <w:szCs w:val="21"/>
                <w:highlight w:val="none"/>
              </w:rPr>
              <w:t>2024年</w:t>
            </w:r>
            <w:r>
              <w:rPr>
                <w:rFonts w:hint="eastAsia" w:ascii="宋体" w:hAnsi="宋体" w:cs="宋体"/>
                <w:b/>
                <w:color w:val="auto"/>
                <w:szCs w:val="21"/>
                <w:highlight w:val="none"/>
                <w:lang w:val="en-US" w:eastAsia="zh-CN"/>
              </w:rPr>
              <w:t>08</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21</w:t>
            </w: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HYPERLINK "mailto:日17时前，将疑问以书面形式（加盖公章）送至滁州学院资产与设备处（会峰校区行政楼220）或以邮件的形式发送至(909873365@qq.com)邮箱，采购人将在2020年" </w:instrText>
            </w:r>
            <w:r>
              <w:rPr>
                <w:rFonts w:hint="eastAsia" w:ascii="宋体" w:hAnsi="宋体" w:cs="宋体"/>
                <w:b/>
                <w:color w:val="auto"/>
                <w:szCs w:val="21"/>
                <w:highlight w:val="none"/>
              </w:rPr>
              <w:fldChar w:fldCharType="separate"/>
            </w:r>
            <w:r>
              <w:rPr>
                <w:rStyle w:val="38"/>
                <w:rFonts w:hint="eastAsia" w:ascii="宋体" w:hAnsi="宋体" w:cs="宋体"/>
                <w:b/>
                <w:color w:val="auto"/>
                <w:szCs w:val="21"/>
                <w:highlight w:val="none"/>
              </w:rPr>
              <w:t>日17时前</w:t>
            </w:r>
            <w:r>
              <w:rPr>
                <w:rStyle w:val="38"/>
                <w:rFonts w:hint="eastAsia" w:ascii="宋体" w:hAnsi="宋体" w:cs="宋体"/>
                <w:bCs/>
                <w:color w:val="auto"/>
                <w:szCs w:val="21"/>
                <w:highlight w:val="none"/>
              </w:rPr>
              <w:t>，将疑问以书面形式（加盖公章）送至资产与实验室管理处（会峰校区行政楼220）或以邮件的形式发送至（ahldzb@126.com）代理邮箱，采购人将在</w:t>
            </w:r>
            <w:r>
              <w:rPr>
                <w:rStyle w:val="38"/>
                <w:rFonts w:hint="eastAsia" w:ascii="宋体" w:hAnsi="宋体" w:cs="宋体"/>
                <w:b/>
                <w:color w:val="auto"/>
                <w:szCs w:val="21"/>
                <w:highlight w:val="none"/>
              </w:rPr>
              <w:t>2024年</w:t>
            </w:r>
            <w:r>
              <w:rPr>
                <w:rFonts w:hint="eastAsia" w:ascii="宋体" w:hAnsi="宋体" w:cs="宋体"/>
                <w:b/>
                <w:color w:val="auto"/>
                <w:szCs w:val="21"/>
                <w:highlight w:val="none"/>
              </w:rPr>
              <w:fldChar w:fldCharType="end"/>
            </w:r>
            <w:r>
              <w:rPr>
                <w:rFonts w:hint="eastAsia" w:ascii="宋体" w:hAnsi="宋体" w:cs="宋体"/>
                <w:b/>
                <w:color w:val="auto"/>
                <w:szCs w:val="21"/>
                <w:highlight w:val="none"/>
                <w:lang w:val="en-US" w:eastAsia="zh-CN"/>
              </w:rPr>
              <w:t>08</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22</w:t>
            </w:r>
            <w:r>
              <w:rPr>
                <w:rFonts w:hint="eastAsia" w:ascii="宋体" w:hAnsi="宋体" w:cs="宋体"/>
                <w:b/>
                <w:color w:val="auto"/>
                <w:szCs w:val="21"/>
                <w:highlight w:val="none"/>
              </w:rPr>
              <w:t>日17时前</w:t>
            </w:r>
            <w:r>
              <w:rPr>
                <w:rFonts w:hint="eastAsia" w:ascii="宋体" w:hAnsi="宋体" w:cs="宋体"/>
                <w:bCs/>
                <w:color w:val="auto"/>
                <w:szCs w:val="21"/>
                <w:highlight w:val="none"/>
              </w:rPr>
              <w:t>以澄清公告形式在滁州学院网站（http://zcc.chzu.edu.cn）资产与实验室管理处网页采购公告栏处予以公告，请各潜在供应商注意查看有关澄清内容，如不及时查看造成后果由供应商自负。</w:t>
            </w:r>
          </w:p>
          <w:p w14:paraId="1295F71B">
            <w:pPr>
              <w:widowControl/>
              <w:spacing w:line="440" w:lineRule="exact"/>
              <w:jc w:val="left"/>
              <w:rPr>
                <w:rFonts w:hint="eastAsia" w:ascii="宋体" w:hAnsi="宋体" w:cs="宋体"/>
                <w:color w:val="auto"/>
                <w:kern w:val="0"/>
                <w:szCs w:val="21"/>
                <w:highlight w:val="none"/>
              </w:rPr>
            </w:pPr>
            <w:r>
              <w:rPr>
                <w:rFonts w:hint="eastAsia" w:ascii="宋体" w:hAnsi="宋体" w:cs="宋体"/>
                <w:b/>
                <w:color w:val="auto"/>
                <w:szCs w:val="21"/>
                <w:highlight w:val="none"/>
              </w:rPr>
              <w:t>供应商请注意：</w:t>
            </w:r>
            <w:r>
              <w:rPr>
                <w:rFonts w:hint="eastAsia" w:ascii="宋体" w:hAnsi="宋体" w:cs="宋体"/>
                <w:bCs/>
                <w:color w:val="auto"/>
                <w:szCs w:val="21"/>
                <w:highlight w:val="none"/>
              </w:rPr>
              <w:t>采购代理机构对采购文件进行的澄清、更正或更改，将在网站上及时发布，该公告内容为采购文件的组成部分，对供应商具有同样约束力效力。供应商应主动上网查询。采购代理机构不承担供应商未及时关注相关信息引发的相关责任。</w:t>
            </w:r>
          </w:p>
        </w:tc>
      </w:tr>
      <w:tr w14:paraId="3A57AD62">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2B7B31E">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FAD85D1">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0A1F5B47">
            <w:pPr>
              <w:widowControl/>
              <w:spacing w:line="44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本项目不采用</w:t>
            </w:r>
          </w:p>
        </w:tc>
      </w:tr>
      <w:tr w14:paraId="2736C0F3">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04CC9027">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3F0B7AF">
            <w:pPr>
              <w:pStyle w:val="15"/>
              <w:wordWrap w:val="0"/>
              <w:spacing w:line="440" w:lineRule="exact"/>
              <w:jc w:val="center"/>
              <w:rPr>
                <w:rFonts w:hint="eastAsia" w:hAnsi="宋体" w:cs="宋体"/>
                <w:color w:val="auto"/>
                <w:szCs w:val="21"/>
                <w:highlight w:val="none"/>
              </w:rPr>
            </w:pPr>
            <w:r>
              <w:rPr>
                <w:rFonts w:hint="eastAsia" w:hAnsi="宋体" w:cs="宋体"/>
                <w:color w:val="auto"/>
                <w:szCs w:val="21"/>
                <w:highlight w:val="none"/>
              </w:rPr>
              <w:t>投标有效期</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468A9219">
            <w:pPr>
              <w:pStyle w:val="15"/>
              <w:wordWrap w:val="0"/>
              <w:spacing w:line="440" w:lineRule="exact"/>
              <w:rPr>
                <w:rFonts w:hint="eastAsia" w:hAnsi="宋体" w:cs="宋体"/>
                <w:b/>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日历天（从投标截止之日算起）。在此期限内，凡符合本采购文件要求的投标文件均保持有效。</w:t>
            </w:r>
          </w:p>
        </w:tc>
      </w:tr>
      <w:tr w14:paraId="643D5DC1">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6D941DC6">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6C219C3E">
            <w:pPr>
              <w:pStyle w:val="15"/>
              <w:wordWrap w:val="0"/>
              <w:spacing w:line="440" w:lineRule="exact"/>
              <w:jc w:val="center"/>
              <w:rPr>
                <w:rFonts w:hint="eastAsia" w:hAnsi="宋体" w:cs="宋体"/>
                <w:color w:val="auto"/>
                <w:szCs w:val="21"/>
                <w:highlight w:val="none"/>
              </w:rPr>
            </w:pPr>
            <w:r>
              <w:rPr>
                <w:rFonts w:hint="eastAsia" w:hAnsi="宋体" w:cs="宋体"/>
                <w:bCs/>
                <w:color w:val="auto"/>
                <w:kern w:val="0"/>
                <w:szCs w:val="21"/>
                <w:highlight w:val="none"/>
              </w:rPr>
              <w:t>投标文件数量</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E17FCBD">
            <w:pPr>
              <w:pStyle w:val="15"/>
              <w:wordWrap w:val="0"/>
              <w:spacing w:line="440" w:lineRule="exact"/>
              <w:rPr>
                <w:rFonts w:hint="eastAsia" w:hAnsi="宋体" w:cs="宋体"/>
                <w:color w:val="auto"/>
                <w:szCs w:val="21"/>
                <w:highlight w:val="none"/>
              </w:rPr>
            </w:pPr>
            <w:r>
              <w:rPr>
                <w:rFonts w:hint="eastAsia" w:hAnsi="宋体" w:cs="宋体"/>
                <w:color w:val="auto"/>
                <w:szCs w:val="21"/>
                <w:highlight w:val="none"/>
              </w:rPr>
              <w:t>正本一份，副本两份；</w:t>
            </w:r>
          </w:p>
        </w:tc>
      </w:tr>
      <w:tr w14:paraId="1B38CDEE">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18AC705F">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29F6912">
            <w:pPr>
              <w:spacing w:line="4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装订、密封要求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18843B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资格证明文件正副本密封在资格证明文件袋内，技术标正副本密封在技术标文件袋内，商务标正副本密封在商务标文件袋内。</w:t>
            </w:r>
          </w:p>
        </w:tc>
      </w:tr>
      <w:tr w14:paraId="564EE5DE">
        <w:tblPrEx>
          <w:tblCellMar>
            <w:top w:w="0" w:type="dxa"/>
            <w:left w:w="0" w:type="dxa"/>
            <w:bottom w:w="0" w:type="dxa"/>
            <w:right w:w="0" w:type="dxa"/>
          </w:tblCellMar>
        </w:tblPrEx>
        <w:trPr>
          <w:trHeight w:val="432"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6F750ED1">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71D5BD6D">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投标文件提交截止时间及地点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365CA8C">
            <w:pPr>
              <w:spacing w:line="440" w:lineRule="exac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收件人：安徽立地工程咨询有限公司</w:t>
            </w:r>
          </w:p>
          <w:p w14:paraId="1B322322">
            <w:pPr>
              <w:spacing w:line="440" w:lineRule="exac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时  间：</w:t>
            </w:r>
            <w:r>
              <w:rPr>
                <w:rFonts w:hint="eastAsia" w:ascii="黑体" w:hAnsi="黑体" w:eastAsia="黑体" w:cs="黑体"/>
                <w:b/>
                <w:bCs/>
                <w:color w:val="auto"/>
                <w:szCs w:val="21"/>
                <w:highlight w:val="none"/>
              </w:rPr>
              <w:t>2024年</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月</w:t>
            </w:r>
            <w:r>
              <w:rPr>
                <w:rFonts w:hint="eastAsia" w:ascii="黑体" w:hAnsi="黑体" w:eastAsia="黑体" w:cs="黑体"/>
                <w:b/>
                <w:bCs/>
                <w:color w:val="auto"/>
                <w:szCs w:val="21"/>
                <w:highlight w:val="none"/>
                <w:lang w:val="en-US" w:eastAsia="zh-CN"/>
              </w:rPr>
              <w:t>02</w:t>
            </w:r>
            <w:r>
              <w:rPr>
                <w:rFonts w:hint="eastAsia" w:ascii="黑体" w:hAnsi="黑体" w:eastAsia="黑体" w:cs="黑体"/>
                <w:b/>
                <w:bCs/>
                <w:color w:val="auto"/>
                <w:szCs w:val="21"/>
                <w:highlight w:val="none"/>
              </w:rPr>
              <w:t>日</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时00分</w:t>
            </w:r>
          </w:p>
          <w:p w14:paraId="72BCD4B5">
            <w:pPr>
              <w:widowControl/>
              <w:spacing w:line="440" w:lineRule="exact"/>
              <w:jc w:val="left"/>
              <w:textAlignment w:val="baseline"/>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地  点：滁州市丰乐大道1899号皖东国际车城A区写字楼A6栋3楼</w:t>
            </w:r>
          </w:p>
        </w:tc>
      </w:tr>
      <w:tr w14:paraId="1FD68C1F">
        <w:tblPrEx>
          <w:tblCellMar>
            <w:top w:w="0" w:type="dxa"/>
            <w:left w:w="0" w:type="dxa"/>
            <w:bottom w:w="0" w:type="dxa"/>
            <w:right w:w="0" w:type="dxa"/>
          </w:tblCellMar>
        </w:tblPrEx>
        <w:trPr>
          <w:trHeight w:val="444"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678465C">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5A4D1889">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开  标</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58FF76C">
            <w:pPr>
              <w:spacing w:line="440" w:lineRule="exact"/>
              <w:rPr>
                <w:rFonts w:hint="eastAsia" w:ascii="黑体" w:hAnsi="黑体" w:eastAsia="黑体" w:cs="黑体"/>
                <w:b/>
                <w:bCs/>
                <w:color w:val="auto"/>
                <w:szCs w:val="21"/>
                <w:highlight w:val="none"/>
              </w:rPr>
            </w:pPr>
            <w:r>
              <w:rPr>
                <w:rFonts w:hint="eastAsia" w:ascii="黑体" w:hAnsi="黑体" w:eastAsia="黑体" w:cs="黑体"/>
                <w:b/>
                <w:bCs/>
                <w:color w:val="auto"/>
                <w:kern w:val="0"/>
                <w:szCs w:val="21"/>
                <w:highlight w:val="none"/>
              </w:rPr>
              <w:t>开标时间：</w:t>
            </w:r>
            <w:r>
              <w:rPr>
                <w:rFonts w:hint="eastAsia" w:ascii="黑体" w:hAnsi="黑体" w:eastAsia="黑体" w:cs="黑体"/>
                <w:b/>
                <w:bCs/>
                <w:color w:val="auto"/>
                <w:szCs w:val="21"/>
                <w:highlight w:val="none"/>
              </w:rPr>
              <w:t>2024年</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月</w:t>
            </w:r>
            <w:r>
              <w:rPr>
                <w:rFonts w:hint="eastAsia" w:ascii="黑体" w:hAnsi="黑体" w:eastAsia="黑体" w:cs="黑体"/>
                <w:b/>
                <w:bCs/>
                <w:color w:val="auto"/>
                <w:szCs w:val="21"/>
                <w:highlight w:val="none"/>
                <w:lang w:val="en-US" w:eastAsia="zh-CN"/>
              </w:rPr>
              <w:t>02</w:t>
            </w:r>
            <w:r>
              <w:rPr>
                <w:rFonts w:hint="eastAsia" w:ascii="黑体" w:hAnsi="黑体" w:eastAsia="黑体" w:cs="黑体"/>
                <w:b/>
                <w:bCs/>
                <w:color w:val="auto"/>
                <w:szCs w:val="21"/>
                <w:highlight w:val="none"/>
              </w:rPr>
              <w:t>日</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时00分</w:t>
            </w:r>
          </w:p>
          <w:p w14:paraId="70FFBED6">
            <w:pPr>
              <w:widowControl/>
              <w:spacing w:line="440" w:lineRule="exact"/>
              <w:jc w:val="left"/>
              <w:textAlignment w:val="baseline"/>
              <w:rPr>
                <w:rFonts w:hint="eastAsia" w:ascii="黑体" w:hAnsi="黑体" w:eastAsia="黑体" w:cs="黑体"/>
                <w:b/>
                <w:bCs/>
                <w:color w:val="auto"/>
                <w:szCs w:val="21"/>
                <w:highlight w:val="none"/>
                <w:u w:val="single"/>
              </w:rPr>
            </w:pPr>
            <w:r>
              <w:rPr>
                <w:rFonts w:hint="eastAsia" w:ascii="黑体" w:hAnsi="黑体" w:eastAsia="黑体" w:cs="黑体"/>
                <w:b/>
                <w:bCs/>
                <w:color w:val="auto"/>
                <w:kern w:val="0"/>
                <w:szCs w:val="21"/>
                <w:highlight w:val="none"/>
              </w:rPr>
              <w:t>开标地点：</w:t>
            </w:r>
            <w:r>
              <w:rPr>
                <w:rFonts w:hint="eastAsia" w:ascii="黑体" w:hAnsi="黑体" w:eastAsia="黑体" w:cs="黑体"/>
                <w:b/>
                <w:bCs/>
                <w:color w:val="auto"/>
                <w:szCs w:val="21"/>
                <w:highlight w:val="none"/>
              </w:rPr>
              <w:t>滁州市丰乐大道1899号皖东国际车城A区写字楼A6栋3楼</w:t>
            </w:r>
          </w:p>
        </w:tc>
      </w:tr>
      <w:tr w14:paraId="7FA5DE0D">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7EB6CDA1">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7C34E8DD">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中标价</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33BA68A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在评标中经过修正的中标单位的投标总报价作为中标价，中标价即为合同价。本项目采用固定单价合同，中标后所报单价不予调整。</w:t>
            </w:r>
          </w:p>
        </w:tc>
      </w:tr>
      <w:tr w14:paraId="61DD6FD5">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417B2F52">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72256611">
            <w:pPr>
              <w:pStyle w:val="15"/>
              <w:spacing w:line="440" w:lineRule="exact"/>
              <w:jc w:val="center"/>
              <w:rPr>
                <w:rFonts w:hint="eastAsia" w:hAnsi="宋体" w:cs="宋体"/>
                <w:color w:val="auto"/>
                <w:szCs w:val="21"/>
                <w:highlight w:val="none"/>
              </w:rPr>
            </w:pPr>
            <w:r>
              <w:rPr>
                <w:rFonts w:hint="eastAsia" w:hAnsi="宋体" w:cs="宋体"/>
                <w:color w:val="auto"/>
                <w:szCs w:val="21"/>
                <w:highlight w:val="none"/>
              </w:rPr>
              <w:t>评标委员会</w:t>
            </w:r>
          </w:p>
          <w:p w14:paraId="2F5E010C">
            <w:pPr>
              <w:pStyle w:val="15"/>
              <w:spacing w:line="440" w:lineRule="exact"/>
              <w:jc w:val="center"/>
              <w:rPr>
                <w:rFonts w:hint="eastAsia" w:hAnsi="宋体" w:cs="宋体"/>
                <w:color w:val="auto"/>
                <w:kern w:val="0"/>
                <w:szCs w:val="21"/>
                <w:highlight w:val="none"/>
              </w:rPr>
            </w:pPr>
            <w:r>
              <w:rPr>
                <w:rFonts w:hint="eastAsia" w:hAnsi="宋体" w:cs="宋体"/>
                <w:color w:val="auto"/>
                <w:szCs w:val="21"/>
                <w:highlight w:val="none"/>
              </w:rPr>
              <w:t>会的组建</w:t>
            </w:r>
          </w:p>
        </w:tc>
        <w:tc>
          <w:tcPr>
            <w:tcW w:w="7855" w:type="dxa"/>
            <w:tcBorders>
              <w:top w:val="single" w:color="auto" w:sz="4" w:space="0"/>
              <w:left w:val="single" w:color="auto" w:sz="4" w:space="0"/>
              <w:bottom w:val="single" w:color="auto" w:sz="4" w:space="0"/>
              <w:right w:val="single" w:color="auto" w:sz="8" w:space="0"/>
            </w:tcBorders>
            <w:noWrap w:val="0"/>
            <w:vAlign w:val="top"/>
          </w:tcPr>
          <w:p w14:paraId="0A180B9C">
            <w:pPr>
              <w:pStyle w:val="15"/>
              <w:spacing w:line="440" w:lineRule="exact"/>
              <w:rPr>
                <w:rFonts w:hint="eastAsia" w:hAnsi="宋体" w:cs="宋体"/>
                <w:color w:val="auto"/>
                <w:szCs w:val="21"/>
                <w:highlight w:val="none"/>
              </w:rPr>
            </w:pPr>
            <w:r>
              <w:rPr>
                <w:rFonts w:hint="eastAsia" w:hAnsi="宋体" w:cs="宋体"/>
                <w:color w:val="auto"/>
                <w:szCs w:val="21"/>
                <w:highlight w:val="none"/>
              </w:rPr>
              <w:t>评标委员会由5名专家评委组建；</w:t>
            </w:r>
          </w:p>
          <w:p w14:paraId="60209A70">
            <w:pPr>
              <w:pStyle w:val="15"/>
              <w:spacing w:line="440" w:lineRule="exact"/>
              <w:rPr>
                <w:rFonts w:hint="eastAsia" w:hAnsi="宋体" w:cs="宋体"/>
                <w:color w:val="auto"/>
                <w:kern w:val="0"/>
                <w:szCs w:val="21"/>
                <w:highlight w:val="none"/>
              </w:rPr>
            </w:pPr>
            <w:r>
              <w:rPr>
                <w:rFonts w:hint="eastAsia" w:hAnsi="宋体" w:cs="宋体"/>
                <w:color w:val="auto"/>
                <w:szCs w:val="21"/>
                <w:highlight w:val="none"/>
              </w:rPr>
              <w:t>评标专家确定方式：专家评委由采购人在开标前从专家库中随机抽取。</w:t>
            </w:r>
          </w:p>
        </w:tc>
      </w:tr>
      <w:tr w14:paraId="291843E1">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4C53C486">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529A54BB">
            <w:pPr>
              <w:pStyle w:val="15"/>
              <w:wordWrap w:val="0"/>
              <w:spacing w:line="440" w:lineRule="exact"/>
              <w:jc w:val="center"/>
              <w:rPr>
                <w:rFonts w:hint="eastAsia" w:hAnsi="宋体" w:cs="宋体"/>
                <w:b/>
                <w:bCs/>
                <w:color w:val="auto"/>
                <w:szCs w:val="21"/>
                <w:highlight w:val="none"/>
              </w:rPr>
            </w:pPr>
            <w:r>
              <w:rPr>
                <w:rFonts w:hint="eastAsia" w:hAnsi="宋体" w:cs="宋体"/>
                <w:color w:val="auto"/>
                <w:szCs w:val="21"/>
                <w:highlight w:val="none"/>
              </w:rPr>
              <w:t>是否授权评标委员会确定中标候选人</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597E0E44">
            <w:pPr>
              <w:pStyle w:val="15"/>
              <w:wordWrap w:val="0"/>
              <w:spacing w:line="440" w:lineRule="exact"/>
              <w:rPr>
                <w:rFonts w:hint="eastAsia" w:hAnsi="宋体" w:cs="宋体"/>
                <w:b/>
                <w:bCs/>
                <w:color w:val="auto"/>
                <w:szCs w:val="21"/>
                <w:highlight w:val="none"/>
              </w:rPr>
            </w:pPr>
            <w:r>
              <w:rPr>
                <w:rFonts w:hint="eastAsia" w:hAnsi="宋体" w:cs="宋体"/>
                <w:color w:val="auto"/>
                <w:szCs w:val="21"/>
                <w:highlight w:val="none"/>
              </w:rPr>
              <w:t>是，由评标委员会推荐3名中标候选人。</w:t>
            </w:r>
          </w:p>
        </w:tc>
      </w:tr>
      <w:tr w14:paraId="14D0CBC7">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3ED90D3F">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6537FB8">
            <w:pPr>
              <w:pStyle w:val="15"/>
              <w:wordWrap w:val="0"/>
              <w:spacing w:line="440" w:lineRule="exact"/>
              <w:jc w:val="center"/>
              <w:rPr>
                <w:rFonts w:hint="eastAsia" w:hAnsi="宋体" w:cs="宋体"/>
                <w:color w:val="auto"/>
                <w:szCs w:val="21"/>
                <w:highlight w:val="none"/>
              </w:rPr>
            </w:pPr>
            <w:r>
              <w:rPr>
                <w:rFonts w:hint="eastAsia" w:hAnsi="宋体" w:cs="宋体"/>
                <w:color w:val="auto"/>
                <w:szCs w:val="21"/>
                <w:highlight w:val="none"/>
              </w:rPr>
              <w:t>中标候选人公示媒介</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64F1672A">
            <w:pPr>
              <w:pStyle w:val="15"/>
              <w:wordWrap w:val="0"/>
              <w:spacing w:line="440" w:lineRule="exact"/>
              <w:rPr>
                <w:rFonts w:hint="eastAsia" w:hAnsi="宋体" w:cs="宋体"/>
                <w:color w:val="auto"/>
                <w:szCs w:val="21"/>
                <w:highlight w:val="none"/>
              </w:rPr>
            </w:pPr>
            <w:r>
              <w:rPr>
                <w:rFonts w:hint="eastAsia" w:hAnsi="宋体" w:cs="宋体"/>
                <w:bCs/>
                <w:color w:val="auto"/>
                <w:kern w:val="0"/>
                <w:szCs w:val="21"/>
                <w:highlight w:val="none"/>
              </w:rPr>
              <w:t>滁州学院网站（http://zcc.chzu.edu.cn）资产与实验室管理处网页采购公告栏</w:t>
            </w:r>
          </w:p>
        </w:tc>
      </w:tr>
      <w:tr w14:paraId="57CA4EF9">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16F7989C">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26</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E29309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招标代理费</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2AB836B8">
            <w:pPr>
              <w:spacing w:line="440" w:lineRule="exact"/>
              <w:rPr>
                <w:rFonts w:hint="eastAsia" w:ascii="宋体" w:hAnsi="宋体" w:cs="宋体"/>
                <w:color w:val="auto"/>
                <w:szCs w:val="21"/>
                <w:highlight w:val="none"/>
              </w:rPr>
            </w:pPr>
            <w:r>
              <w:rPr>
                <w:rFonts w:hint="eastAsia" w:ascii="宋体" w:hAnsi="宋体" w:cs="宋体"/>
                <w:bCs/>
                <w:color w:val="auto"/>
                <w:szCs w:val="21"/>
                <w:highlight w:val="none"/>
              </w:rPr>
              <w:t>按照计价格[2002]1980号文规定标准的80%向所代理项目的中标（成交）人收取采购代理服务费。上述费用由成交人在领取成交通知书前一次性支付给代理机构。</w:t>
            </w:r>
          </w:p>
          <w:p w14:paraId="6D92B00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项目中标（成交）金额30万元以下，代理服务费不足3500元的小额项目，按3500元固定标准收取。项目为多包的小额项目，每包增加500元代理费。</w:t>
            </w:r>
          </w:p>
          <w:p w14:paraId="10B68B5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p w14:paraId="5E8B01B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（1）采购项目所涉及开评标场地及会议、交通、住宿、评审、监督、进场交易、投诉质疑处理等一切相关延伸服务产生的费用均包含在代理服务费中。</w:t>
            </w:r>
          </w:p>
          <w:p w14:paraId="4AD0BDF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（2）采购代理费向所代理项目的中标（成交）供应商收取，采购人不支付代理机构任何费用。供应商须自行考虑履约过程中存在的价格因素及相关风险。</w:t>
            </w:r>
          </w:p>
          <w:p w14:paraId="6CD3C36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（3）若项目一个包允许多家供应商中标（成交），由同时中标（成交）人均摊代理服务费（四舍五入取整）；一招多年的服务项目以一个年度的中标（成交）金额计费。</w:t>
            </w:r>
          </w:p>
        </w:tc>
      </w:tr>
      <w:tr w14:paraId="4AF5A389">
        <w:trPr>
          <w:trHeight w:val="6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29BC14E6">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27</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F8109A8">
            <w:pPr>
              <w:spacing w:line="440" w:lineRule="exact"/>
              <w:jc w:val="center"/>
              <w:rPr>
                <w:rFonts w:hint="eastAsia" w:ascii="宋体" w:hAnsi="宋体" w:cs="宋体"/>
                <w:color w:val="auto"/>
                <w:kern w:val="0"/>
                <w:szCs w:val="21"/>
                <w:highlight w:val="none"/>
              </w:rPr>
            </w:pPr>
            <w:r>
              <w:rPr>
                <w:rFonts w:hint="eastAsia" w:ascii="宋体" w:hAnsi="宋体" w:cs="宋体"/>
                <w:bCs/>
                <w:color w:val="auto"/>
                <w:szCs w:val="21"/>
                <w:highlight w:val="none"/>
              </w:rPr>
              <w:t>履约担保</w:t>
            </w:r>
          </w:p>
        </w:tc>
        <w:tc>
          <w:tcPr>
            <w:tcW w:w="7855" w:type="dxa"/>
            <w:tcBorders>
              <w:top w:val="single" w:color="auto" w:sz="4" w:space="0"/>
              <w:left w:val="single" w:color="auto" w:sz="4" w:space="0"/>
              <w:bottom w:val="single" w:color="auto" w:sz="4" w:space="0"/>
              <w:right w:val="single" w:color="auto" w:sz="8" w:space="0"/>
            </w:tcBorders>
            <w:noWrap w:val="0"/>
            <w:vAlign w:val="top"/>
          </w:tcPr>
          <w:p w14:paraId="3A61D1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履约担保的形式：转账</w:t>
            </w:r>
          </w:p>
          <w:p w14:paraId="7A92186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履约担保的金额：中标价款的2.5%</w:t>
            </w:r>
          </w:p>
          <w:p w14:paraId="16E7F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缴纳时间：签订合同前</w:t>
            </w:r>
          </w:p>
          <w:p w14:paraId="4E36200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中标人在签订合同前需将中标价款2.5%的履约保证金交至学校指定账户，供货（服务）完成，经采购人验收合格后，一次性退还履约保证金。</w:t>
            </w:r>
          </w:p>
          <w:p w14:paraId="6040E27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单位：滁州学院</w:t>
            </w:r>
          </w:p>
          <w:p w14:paraId="2CF4942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开户行：工行醉翁亭支行</w:t>
            </w:r>
          </w:p>
          <w:p w14:paraId="7EC26A4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账号：1313062809024904784</w:t>
            </w:r>
          </w:p>
        </w:tc>
      </w:tr>
      <w:tr w14:paraId="7CDE03D4">
        <w:tblPrEx>
          <w:tblCellMar>
            <w:top w:w="0" w:type="dxa"/>
            <w:left w:w="0" w:type="dxa"/>
            <w:bottom w:w="0" w:type="dxa"/>
            <w:right w:w="0" w:type="dxa"/>
          </w:tblCellMar>
        </w:tblPrEx>
        <w:trPr>
          <w:trHeight w:val="588"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7A691E67">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28</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F429949">
            <w:pPr>
              <w:spacing w:line="44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付款方式</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13C0CDAC">
            <w:pPr>
              <w:autoSpaceDE w:val="0"/>
              <w:autoSpaceDN w:val="0"/>
              <w:adjustRightInd w:val="0"/>
              <w:spacing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合同签订后，供货（服务）完成，经验收合格后付全款</w:t>
            </w:r>
            <w:r>
              <w:rPr>
                <w:rFonts w:hint="eastAsia" w:ascii="宋体" w:hAnsi="宋体" w:cs="宋体"/>
                <w:b/>
                <w:bCs/>
                <w:color w:val="auto"/>
                <w:szCs w:val="21"/>
                <w:highlight w:val="none"/>
                <w:lang w:val="zh-CN"/>
              </w:rPr>
              <w:t>。</w:t>
            </w:r>
          </w:p>
        </w:tc>
      </w:tr>
      <w:tr w14:paraId="1DC9AB92">
        <w:tblPrEx>
          <w:tblCellMar>
            <w:top w:w="0" w:type="dxa"/>
            <w:left w:w="0" w:type="dxa"/>
            <w:bottom w:w="0" w:type="dxa"/>
            <w:right w:w="0" w:type="dxa"/>
          </w:tblCellMar>
        </w:tblPrEx>
        <w:trPr>
          <w:trHeight w:val="588"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04279A7E">
            <w:pPr>
              <w:spacing w:line="4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29</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0E02885">
            <w:pPr>
              <w:spacing w:line="440" w:lineRule="exact"/>
              <w:jc w:val="center"/>
              <w:rPr>
                <w:rFonts w:hint="eastAsia" w:ascii="宋体" w:hAnsi="宋体" w:cs="宋体"/>
                <w:b/>
                <w:bCs/>
                <w:color w:val="auto"/>
                <w:kern w:val="0"/>
                <w:szCs w:val="21"/>
                <w:highlight w:val="none"/>
              </w:rPr>
            </w:pPr>
            <w:r>
              <w:rPr>
                <w:rFonts w:hint="eastAsia" w:ascii="宋体" w:hAnsi="宋体" w:cs="宋体"/>
                <w:color w:val="auto"/>
                <w:szCs w:val="21"/>
                <w:highlight w:val="none"/>
              </w:rPr>
              <w:t>备注</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23DD924D">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①本项目的法定代表人（或委托代理人）必须按照本文件要求的时间、地点手持身份证原件参加招标会议，否则其投标文件将被拒绝。</w:t>
            </w:r>
          </w:p>
          <w:p w14:paraId="29570206">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②本采购文件前后条款若有不一致之处，在澄清答疑时又未作出明确时，各供应商的采购文件只要满足其中任一条款均视为对采购文件的响应。</w:t>
            </w:r>
          </w:p>
          <w:p w14:paraId="553F7453">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③评标委员会只依靠供应商递交的采购文件及其按照采购文件要求提供的所有证明材料进行评审，而不依靠任何外来的证明材料。</w:t>
            </w:r>
          </w:p>
          <w:p w14:paraId="015717D3">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④</w:t>
            </w:r>
            <w:r>
              <w:rPr>
                <w:rFonts w:hint="eastAsia" w:ascii="宋体" w:hAnsi="宋体" w:cs="宋体"/>
                <w:color w:val="auto"/>
                <w:szCs w:val="21"/>
                <w:highlight w:val="none"/>
              </w:rPr>
              <w:t>投标供应商对采购文件内容有疑问的，须在采购文件规定的质疑截止时间前，向采购人（或代理机构）提出询问或者质疑，未在规定质疑截止时间内提出异议的，该质疑不予受理，并视同投标供应商认可采购文件所有内容。</w:t>
            </w:r>
          </w:p>
          <w:p w14:paraId="235CA882">
            <w:pPr>
              <w:spacing w:line="440" w:lineRule="exact"/>
              <w:rPr>
                <w:rFonts w:hint="eastAsia" w:ascii="宋体" w:hAnsi="宋体" w:cs="宋体"/>
                <w:b/>
                <w:bCs/>
                <w:color w:val="auto"/>
                <w:szCs w:val="21"/>
                <w:highlight w:val="none"/>
              </w:rPr>
            </w:pPr>
            <w:r>
              <w:rPr>
                <w:rFonts w:hint="eastAsia" w:ascii="宋体" w:hAnsi="宋体" w:cs="宋体"/>
                <w:color w:val="auto"/>
                <w:kern w:val="0"/>
                <w:szCs w:val="21"/>
                <w:highlight w:val="none"/>
                <w:u w:val="none" w:color="000000"/>
              </w:rPr>
              <w:t xml:space="preserve">⑤本文件的最终解释权归采购人、采购代理机构所有。 </w:t>
            </w:r>
          </w:p>
        </w:tc>
      </w:tr>
      <w:tr w14:paraId="5E8CF373">
        <w:trPr>
          <w:trHeight w:val="588"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6657AC0A">
            <w:pPr>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B41B565">
            <w:pPr>
              <w:spacing w:line="500" w:lineRule="exact"/>
              <w:jc w:val="center"/>
              <w:rPr>
                <w:rFonts w:hint="eastAsia" w:ascii="宋体" w:hAnsi="宋体" w:cs="宋体"/>
                <w:b/>
                <w:bCs/>
                <w:color w:val="auto"/>
                <w:kern w:val="0"/>
                <w:szCs w:val="21"/>
                <w:highlight w:val="none"/>
              </w:rPr>
            </w:pPr>
            <w:r>
              <w:rPr>
                <w:rFonts w:hint="eastAsia" w:ascii="宋体" w:hAnsi="宋体" w:cs="宋体"/>
                <w:color w:val="auto"/>
                <w:szCs w:val="21"/>
                <w:highlight w:val="none"/>
              </w:rPr>
              <w:t>业绩</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0B027B71">
            <w:pPr>
              <w:pStyle w:val="53"/>
              <w:spacing w:line="500" w:lineRule="exact"/>
              <w:rPr>
                <w:rFonts w:hint="eastAsia" w:ascii="宋体" w:hAnsi="宋体" w:cs="宋体"/>
                <w:b/>
                <w:bCs/>
                <w:color w:val="auto"/>
                <w:szCs w:val="21"/>
                <w:highlight w:val="none"/>
              </w:rPr>
            </w:pPr>
            <w:r>
              <w:rPr>
                <w:rFonts w:hint="eastAsia" w:ascii="宋体" w:hAnsi="宋体" w:cs="宋体"/>
                <w:color w:val="auto"/>
                <w:szCs w:val="21"/>
                <w:highlight w:val="none"/>
              </w:rPr>
              <w:t>本项目将对排名第一的成交候选供应商经评标委员会评审认可的供应商业绩进行公示。</w:t>
            </w:r>
          </w:p>
        </w:tc>
      </w:tr>
    </w:tbl>
    <w:p w14:paraId="1B6974D8">
      <w:pPr>
        <w:pageBreakBefore/>
        <w:spacing w:before="156" w:beforeLines="50" w:after="156" w:afterLines="50" w:line="440" w:lineRule="exact"/>
        <w:jc w:val="center"/>
        <w:outlineLvl w:val="0"/>
        <w:rPr>
          <w:rFonts w:hint="eastAsia" w:ascii="宋体" w:hAnsi="宋体" w:cs="宋体"/>
          <w:b/>
          <w:color w:val="auto"/>
          <w:sz w:val="32"/>
          <w:szCs w:val="32"/>
          <w:highlight w:val="none"/>
        </w:rPr>
      </w:pPr>
      <w:bookmarkStart w:id="76" w:name="_Toc4325"/>
      <w:r>
        <w:rPr>
          <w:rFonts w:hint="eastAsia" w:ascii="宋体" w:hAnsi="宋体" w:cs="宋体"/>
          <w:b/>
          <w:color w:val="auto"/>
          <w:sz w:val="32"/>
          <w:szCs w:val="32"/>
          <w:highlight w:val="none"/>
        </w:rPr>
        <w:t>第一章  投标须知</w:t>
      </w:r>
      <w:bookmarkEnd w:id="76"/>
    </w:p>
    <w:p w14:paraId="521E0A2D">
      <w:pPr>
        <w:spacing w:before="156" w:beforeLines="50" w:after="156" w:afterLines="50" w:line="440" w:lineRule="exact"/>
        <w:jc w:val="center"/>
        <w:outlineLvl w:val="1"/>
        <w:rPr>
          <w:rFonts w:hint="eastAsia" w:ascii="宋体" w:hAnsi="宋体" w:cs="宋体"/>
          <w:b/>
          <w:bCs/>
          <w:color w:val="auto"/>
          <w:sz w:val="28"/>
          <w:szCs w:val="28"/>
          <w:highlight w:val="none"/>
        </w:rPr>
      </w:pPr>
      <w:bookmarkStart w:id="77" w:name="_Toc13704"/>
      <w:bookmarkStart w:id="78" w:name="_Toc12552"/>
      <w:r>
        <w:rPr>
          <w:rFonts w:hint="eastAsia" w:ascii="宋体" w:hAnsi="宋体" w:cs="宋体"/>
          <w:b/>
          <w:bCs/>
          <w:color w:val="auto"/>
          <w:sz w:val="28"/>
          <w:szCs w:val="28"/>
          <w:highlight w:val="none"/>
        </w:rPr>
        <w:t>一、总  则</w:t>
      </w:r>
      <w:bookmarkEnd w:id="77"/>
      <w:bookmarkEnd w:id="78"/>
    </w:p>
    <w:p w14:paraId="5071AA61">
      <w:pPr>
        <w:spacing w:line="440" w:lineRule="exact"/>
        <w:ind w:firstLine="422" w:firstLineChars="200"/>
        <w:jc w:val="left"/>
        <w:outlineLvl w:val="2"/>
        <w:rPr>
          <w:rFonts w:hint="eastAsia" w:ascii="宋体" w:hAnsi="宋体" w:cs="宋体"/>
          <w:b/>
          <w:bCs/>
          <w:color w:val="auto"/>
          <w:szCs w:val="21"/>
          <w:highlight w:val="none"/>
        </w:rPr>
      </w:pPr>
      <w:bookmarkStart w:id="79" w:name="_Toc19804"/>
      <w:bookmarkStart w:id="80" w:name="_Toc23505"/>
      <w:r>
        <w:rPr>
          <w:rFonts w:hint="eastAsia" w:ascii="宋体" w:hAnsi="宋体" w:cs="宋体"/>
          <w:b/>
          <w:bCs/>
          <w:color w:val="auto"/>
          <w:szCs w:val="21"/>
          <w:highlight w:val="none"/>
        </w:rPr>
        <w:t>1. 项目概况</w:t>
      </w:r>
      <w:bookmarkEnd w:id="79"/>
      <w:bookmarkEnd w:id="80"/>
    </w:p>
    <w:p w14:paraId="6FD9296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 本项目名称：滁州学院2024年档案管理系统采购（一期）</w:t>
      </w:r>
      <w:r>
        <w:rPr>
          <w:rFonts w:hint="eastAsia" w:ascii="宋体" w:hAnsi="宋体" w:cs="宋体"/>
          <w:color w:val="auto"/>
          <w:kern w:val="0"/>
          <w:szCs w:val="21"/>
          <w:highlight w:val="none"/>
        </w:rPr>
        <w:t xml:space="preserve">    </w:t>
      </w:r>
    </w:p>
    <w:p w14:paraId="52F08115">
      <w:pPr>
        <w:spacing w:line="44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szCs w:val="21"/>
          <w:highlight w:val="none"/>
        </w:rPr>
        <w:t xml:space="preserve">1.2采购单位：资产与实验室管理处 </w:t>
      </w:r>
    </w:p>
    <w:p w14:paraId="709D310E">
      <w:pPr>
        <w:spacing w:line="440" w:lineRule="exact"/>
        <w:ind w:firstLine="422" w:firstLineChars="200"/>
        <w:jc w:val="left"/>
        <w:outlineLvl w:val="2"/>
        <w:rPr>
          <w:rFonts w:hint="eastAsia" w:ascii="宋体" w:hAnsi="宋体" w:cs="宋体"/>
          <w:b/>
          <w:bCs/>
          <w:color w:val="auto"/>
          <w:szCs w:val="21"/>
          <w:highlight w:val="none"/>
        </w:rPr>
      </w:pPr>
      <w:bookmarkStart w:id="81" w:name="_Toc11148"/>
      <w:bookmarkStart w:id="82" w:name="_Toc31257"/>
      <w:r>
        <w:rPr>
          <w:rFonts w:hint="eastAsia" w:ascii="宋体" w:hAnsi="宋体" w:cs="宋体"/>
          <w:b/>
          <w:bCs/>
          <w:color w:val="auto"/>
          <w:szCs w:val="21"/>
          <w:highlight w:val="none"/>
        </w:rPr>
        <w:t>2.项目投资</w:t>
      </w:r>
      <w:bookmarkEnd w:id="81"/>
      <w:bookmarkEnd w:id="82"/>
    </w:p>
    <w:p w14:paraId="5B93FCA8">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2.1本项目投资约25万元。</w:t>
      </w:r>
    </w:p>
    <w:p w14:paraId="6E89680A">
      <w:pPr>
        <w:spacing w:line="440" w:lineRule="exact"/>
        <w:ind w:firstLine="422" w:firstLineChars="200"/>
        <w:jc w:val="left"/>
        <w:outlineLvl w:val="2"/>
        <w:rPr>
          <w:rFonts w:hint="eastAsia" w:ascii="宋体" w:hAnsi="宋体" w:cs="宋体"/>
          <w:b/>
          <w:bCs/>
          <w:color w:val="auto"/>
          <w:szCs w:val="21"/>
          <w:highlight w:val="none"/>
        </w:rPr>
      </w:pPr>
      <w:bookmarkStart w:id="83" w:name="_Toc18152"/>
      <w:bookmarkStart w:id="84" w:name="_Toc18951"/>
      <w:r>
        <w:rPr>
          <w:rFonts w:hint="eastAsia" w:ascii="宋体" w:hAnsi="宋体" w:cs="宋体"/>
          <w:b/>
          <w:bCs/>
          <w:color w:val="auto"/>
          <w:szCs w:val="21"/>
          <w:highlight w:val="none"/>
        </w:rPr>
        <w:t>3.招标范围</w:t>
      </w:r>
      <w:bookmarkEnd w:id="83"/>
      <w:bookmarkEnd w:id="84"/>
    </w:p>
    <w:p w14:paraId="70ECD17E">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3.1详见采购文件采购需求。</w:t>
      </w:r>
    </w:p>
    <w:p w14:paraId="2D8A76B1">
      <w:pPr>
        <w:spacing w:line="440" w:lineRule="exact"/>
        <w:ind w:firstLine="422" w:firstLineChars="200"/>
        <w:jc w:val="left"/>
        <w:outlineLvl w:val="2"/>
        <w:rPr>
          <w:rFonts w:hint="eastAsia" w:ascii="宋体" w:hAnsi="宋体" w:cs="宋体"/>
          <w:b/>
          <w:bCs/>
          <w:color w:val="auto"/>
          <w:szCs w:val="21"/>
          <w:highlight w:val="none"/>
        </w:rPr>
      </w:pPr>
      <w:bookmarkStart w:id="85" w:name="_Toc1347"/>
      <w:bookmarkStart w:id="86" w:name="_Toc7895"/>
      <w:r>
        <w:rPr>
          <w:rFonts w:hint="eastAsia" w:ascii="宋体" w:hAnsi="宋体" w:cs="宋体"/>
          <w:b/>
          <w:bCs/>
          <w:color w:val="auto"/>
          <w:szCs w:val="21"/>
          <w:highlight w:val="none"/>
        </w:rPr>
        <w:t>4.服务期限</w:t>
      </w:r>
      <w:bookmarkEnd w:id="85"/>
      <w:bookmarkEnd w:id="86"/>
    </w:p>
    <w:p w14:paraId="68D5275A">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4.1签订合同后30个日历天供货安装完毕（在合同签订生效后180个日历天内具备系统验收条件）。 </w:t>
      </w:r>
    </w:p>
    <w:p w14:paraId="29841687">
      <w:pPr>
        <w:spacing w:line="440" w:lineRule="exact"/>
        <w:ind w:firstLine="422" w:firstLineChars="200"/>
        <w:jc w:val="left"/>
        <w:outlineLvl w:val="2"/>
        <w:rPr>
          <w:rFonts w:hint="eastAsia" w:ascii="宋体" w:hAnsi="宋体" w:cs="宋体"/>
          <w:b/>
          <w:bCs/>
          <w:color w:val="auto"/>
          <w:szCs w:val="21"/>
          <w:highlight w:val="none"/>
        </w:rPr>
      </w:pPr>
      <w:bookmarkStart w:id="87" w:name="_Toc4219"/>
      <w:bookmarkStart w:id="88" w:name="_Toc30122"/>
      <w:r>
        <w:rPr>
          <w:rFonts w:hint="eastAsia" w:ascii="宋体" w:hAnsi="宋体" w:cs="宋体"/>
          <w:b/>
          <w:bCs/>
          <w:color w:val="auto"/>
          <w:szCs w:val="21"/>
          <w:highlight w:val="none"/>
        </w:rPr>
        <w:t>5.投标供应商资格要求</w:t>
      </w:r>
      <w:bookmarkEnd w:id="87"/>
      <w:bookmarkEnd w:id="88"/>
    </w:p>
    <w:p w14:paraId="371E81C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5.1供应商必须具有承担民事责任能力，并且具有有效的营业执照（或三证合一有效证件）；</w:t>
      </w:r>
    </w:p>
    <w:p w14:paraId="6F54893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5.2本项目不接受联合体投标；</w:t>
      </w:r>
    </w:p>
    <w:p w14:paraId="2532F73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5.3信誉要求：投标供应商不得存在以下情形：</w:t>
      </w:r>
    </w:p>
    <w:p w14:paraId="111829F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①投标供应商被人民法院列入失信被执行人的；</w:t>
      </w:r>
    </w:p>
    <w:p w14:paraId="220C2E1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②投标供应商或其法定代表人被人民检察院列入行贿犯罪档案的；</w:t>
      </w:r>
    </w:p>
    <w:p w14:paraId="1D658C9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③投标供应商被市场监督管理部门列入经营异常名录或者严重违法企业名单的；</w:t>
      </w:r>
    </w:p>
    <w:p w14:paraId="75D98C82">
      <w:pPr>
        <w:spacing w:line="44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highlight w:val="none"/>
        </w:rPr>
        <w:t>④投标供应商被税收部门列入重大税收违</w:t>
      </w:r>
      <w:r>
        <w:rPr>
          <w:rFonts w:hint="eastAsia" w:ascii="宋体" w:hAnsi="宋体" w:cs="宋体"/>
          <w:color w:val="auto"/>
          <w:kern w:val="0"/>
          <w:szCs w:val="21"/>
          <w:highlight w:val="none"/>
        </w:rPr>
        <w:t>法案件当事人的；</w:t>
      </w:r>
    </w:p>
    <w:p w14:paraId="1880254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⑤投标供应商被采购监管部门列入采购严重违法失信行为记录名单的；</w:t>
      </w:r>
    </w:p>
    <w:p w14:paraId="62ECAAB6">
      <w:pPr>
        <w:spacing w:line="44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⑥在“信用中国”网站上披露仍在公示期的严重失信行为的；</w:t>
      </w:r>
    </w:p>
    <w:p w14:paraId="5157BF73">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⑦被滁州市县两级行业主管部门及公管部门禁止在一定期限内参加采购活动且在禁止期限内的； </w:t>
      </w:r>
    </w:p>
    <w:p w14:paraId="3778494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⑧被滁州市县两级公管部门记入不良行为记录或者信用信息记录，且在披露期内的；</w:t>
      </w:r>
    </w:p>
    <w:p w14:paraId="1644AFFE">
      <w:pPr>
        <w:spacing w:line="440" w:lineRule="exact"/>
        <w:ind w:firstLine="422" w:firstLineChars="200"/>
        <w:jc w:val="left"/>
        <w:outlineLvl w:val="2"/>
        <w:rPr>
          <w:rFonts w:hint="eastAsia" w:ascii="宋体" w:hAnsi="宋体" w:cs="宋体"/>
          <w:b/>
          <w:bCs/>
          <w:color w:val="auto"/>
          <w:szCs w:val="21"/>
          <w:highlight w:val="none"/>
        </w:rPr>
      </w:pPr>
      <w:bookmarkStart w:id="89" w:name="_Toc30010"/>
      <w:bookmarkStart w:id="90" w:name="_Toc18496"/>
      <w:r>
        <w:rPr>
          <w:rFonts w:hint="eastAsia" w:ascii="宋体" w:hAnsi="宋体" w:cs="宋体"/>
          <w:b/>
          <w:bCs/>
          <w:color w:val="auto"/>
          <w:szCs w:val="21"/>
          <w:highlight w:val="none"/>
        </w:rPr>
        <w:t>6.资金来源</w:t>
      </w:r>
      <w:bookmarkEnd w:id="89"/>
      <w:bookmarkEnd w:id="90"/>
    </w:p>
    <w:p w14:paraId="33EFA475">
      <w:pPr>
        <w:spacing w:line="440" w:lineRule="exact"/>
        <w:ind w:firstLine="420" w:firstLineChars="200"/>
        <w:jc w:val="left"/>
        <w:outlineLvl w:val="3"/>
        <w:rPr>
          <w:rFonts w:hint="eastAsia" w:ascii="宋体" w:hAnsi="宋体" w:cs="宋体"/>
          <w:color w:val="auto"/>
          <w:szCs w:val="21"/>
          <w:highlight w:val="none"/>
          <w:u w:val="single"/>
        </w:rPr>
      </w:pPr>
      <w:r>
        <w:rPr>
          <w:rFonts w:hint="eastAsia" w:ascii="宋体" w:hAnsi="宋体" w:cs="宋体"/>
          <w:color w:val="auto"/>
          <w:szCs w:val="21"/>
          <w:highlight w:val="none"/>
        </w:rPr>
        <w:t>6.1资金来源：</w:t>
      </w:r>
      <w:r>
        <w:rPr>
          <w:rFonts w:hint="eastAsia" w:ascii="宋体" w:hAnsi="宋体" w:cs="宋体"/>
          <w:color w:val="auto"/>
          <w:szCs w:val="21"/>
          <w:highlight w:val="none"/>
          <w:u w:val="single"/>
        </w:rPr>
        <w:t xml:space="preserve"> 财政资金  </w:t>
      </w:r>
      <w:r>
        <w:rPr>
          <w:rFonts w:hint="eastAsia" w:ascii="宋体" w:hAnsi="宋体" w:cs="宋体"/>
          <w:color w:val="auto"/>
          <w:szCs w:val="21"/>
          <w:highlight w:val="none"/>
        </w:rPr>
        <w:t>；资金已落实。</w:t>
      </w:r>
    </w:p>
    <w:p w14:paraId="15F3C8FA">
      <w:pPr>
        <w:spacing w:line="440" w:lineRule="exact"/>
        <w:ind w:firstLine="422" w:firstLineChars="200"/>
        <w:jc w:val="left"/>
        <w:outlineLvl w:val="2"/>
        <w:rPr>
          <w:rFonts w:hint="eastAsia" w:ascii="宋体" w:hAnsi="宋体" w:cs="宋体"/>
          <w:b/>
          <w:bCs/>
          <w:color w:val="auto"/>
          <w:szCs w:val="21"/>
          <w:highlight w:val="none"/>
        </w:rPr>
      </w:pPr>
      <w:bookmarkStart w:id="91" w:name="_Toc12927"/>
      <w:bookmarkStart w:id="92" w:name="_Toc15417"/>
      <w:r>
        <w:rPr>
          <w:rFonts w:hint="eastAsia" w:ascii="宋体" w:hAnsi="宋体" w:cs="宋体"/>
          <w:b/>
          <w:bCs/>
          <w:color w:val="auto"/>
          <w:szCs w:val="21"/>
          <w:highlight w:val="none"/>
        </w:rPr>
        <w:t>7.标段划分</w:t>
      </w:r>
      <w:bookmarkEnd w:id="91"/>
      <w:bookmarkEnd w:id="92"/>
    </w:p>
    <w:p w14:paraId="11F84077">
      <w:pPr>
        <w:spacing w:line="440" w:lineRule="exact"/>
        <w:ind w:firstLine="420" w:firstLineChars="200"/>
        <w:outlineLvl w:val="3"/>
        <w:rPr>
          <w:rFonts w:hint="eastAsia" w:ascii="宋体" w:hAnsi="宋体" w:cs="宋体"/>
          <w:color w:val="auto"/>
          <w:szCs w:val="21"/>
          <w:highlight w:val="none"/>
          <w:u w:val="single"/>
        </w:rPr>
      </w:pPr>
      <w:r>
        <w:rPr>
          <w:rFonts w:hint="eastAsia" w:ascii="宋体" w:hAnsi="宋体" w:cs="宋体"/>
          <w:color w:val="auto"/>
          <w:szCs w:val="21"/>
          <w:highlight w:val="none"/>
        </w:rPr>
        <w:t>7.1本项目标段划分：</w:t>
      </w:r>
      <w:r>
        <w:rPr>
          <w:rFonts w:hint="eastAsia" w:ascii="宋体" w:hAnsi="宋体" w:cs="宋体"/>
          <w:color w:val="auto"/>
          <w:szCs w:val="21"/>
          <w:highlight w:val="none"/>
          <w:u w:val="single"/>
        </w:rPr>
        <w:t xml:space="preserve">一个标段 </w:t>
      </w:r>
      <w:r>
        <w:rPr>
          <w:rFonts w:hint="eastAsia" w:ascii="宋体" w:hAnsi="宋体" w:cs="宋体"/>
          <w:color w:val="auto"/>
          <w:szCs w:val="21"/>
          <w:highlight w:val="none"/>
        </w:rPr>
        <w:t>。</w:t>
      </w:r>
    </w:p>
    <w:p w14:paraId="31C17922">
      <w:pPr>
        <w:spacing w:line="440" w:lineRule="exact"/>
        <w:ind w:firstLine="422" w:firstLineChars="200"/>
        <w:jc w:val="left"/>
        <w:outlineLvl w:val="2"/>
        <w:rPr>
          <w:rFonts w:hint="eastAsia" w:ascii="宋体" w:hAnsi="宋体" w:cs="宋体"/>
          <w:b/>
          <w:bCs/>
          <w:color w:val="auto"/>
          <w:szCs w:val="21"/>
          <w:highlight w:val="none"/>
        </w:rPr>
      </w:pPr>
      <w:bookmarkStart w:id="93" w:name="_Toc22577"/>
      <w:bookmarkStart w:id="94" w:name="_Toc11838"/>
      <w:r>
        <w:rPr>
          <w:rFonts w:hint="eastAsia" w:ascii="宋体" w:hAnsi="宋体" w:cs="宋体"/>
          <w:b/>
          <w:bCs/>
          <w:color w:val="auto"/>
          <w:szCs w:val="21"/>
          <w:highlight w:val="none"/>
        </w:rPr>
        <w:t>8.招标方式</w:t>
      </w:r>
      <w:bookmarkEnd w:id="93"/>
      <w:bookmarkEnd w:id="94"/>
    </w:p>
    <w:p w14:paraId="7BB0AB7D">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8.1本项目招标方式：</w:t>
      </w:r>
      <w:r>
        <w:rPr>
          <w:rFonts w:hint="eastAsia" w:ascii="宋体" w:hAnsi="宋体" w:cs="宋体"/>
          <w:color w:val="auto"/>
          <w:szCs w:val="21"/>
          <w:highlight w:val="none"/>
          <w:u w:val="single"/>
        </w:rPr>
        <w:t xml:space="preserve">  公开招标  </w:t>
      </w:r>
      <w:r>
        <w:rPr>
          <w:rFonts w:hint="eastAsia" w:ascii="宋体" w:hAnsi="宋体" w:cs="宋体"/>
          <w:color w:val="auto"/>
          <w:szCs w:val="21"/>
          <w:highlight w:val="none"/>
        </w:rPr>
        <w:t>。</w:t>
      </w:r>
    </w:p>
    <w:p w14:paraId="2D6E454E">
      <w:pPr>
        <w:spacing w:line="440" w:lineRule="exact"/>
        <w:ind w:firstLine="422" w:firstLineChars="200"/>
        <w:jc w:val="left"/>
        <w:outlineLvl w:val="2"/>
        <w:rPr>
          <w:rFonts w:hint="eastAsia" w:ascii="宋体" w:hAnsi="宋体" w:cs="宋体"/>
          <w:b/>
          <w:bCs/>
          <w:color w:val="auto"/>
          <w:szCs w:val="21"/>
          <w:highlight w:val="none"/>
        </w:rPr>
      </w:pPr>
      <w:bookmarkStart w:id="95" w:name="_Toc20247"/>
      <w:bookmarkStart w:id="96" w:name="_Toc23163"/>
      <w:r>
        <w:rPr>
          <w:rFonts w:hint="eastAsia" w:ascii="宋体" w:hAnsi="宋体" w:cs="宋体"/>
          <w:b/>
          <w:bCs/>
          <w:color w:val="auto"/>
          <w:szCs w:val="21"/>
          <w:highlight w:val="none"/>
        </w:rPr>
        <w:t>9.计价方式</w:t>
      </w:r>
      <w:bookmarkEnd w:id="95"/>
      <w:bookmarkEnd w:id="96"/>
    </w:p>
    <w:p w14:paraId="38D22A1E">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9.1本项目合同方式：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固定总价  </w:t>
      </w:r>
      <w:r>
        <w:rPr>
          <w:rFonts w:hint="eastAsia" w:ascii="宋体" w:hAnsi="宋体" w:cs="宋体"/>
          <w:color w:val="auto"/>
          <w:szCs w:val="21"/>
          <w:highlight w:val="none"/>
        </w:rPr>
        <w:t>。</w:t>
      </w:r>
    </w:p>
    <w:p w14:paraId="674DE12C">
      <w:pPr>
        <w:spacing w:line="440" w:lineRule="exact"/>
        <w:ind w:firstLine="422" w:firstLineChars="200"/>
        <w:jc w:val="left"/>
        <w:outlineLvl w:val="2"/>
        <w:rPr>
          <w:rFonts w:hint="eastAsia" w:ascii="宋体" w:hAnsi="宋体" w:cs="宋体"/>
          <w:b/>
          <w:bCs/>
          <w:color w:val="auto"/>
          <w:szCs w:val="21"/>
          <w:highlight w:val="none"/>
        </w:rPr>
      </w:pPr>
      <w:bookmarkStart w:id="97" w:name="_Toc25598"/>
      <w:bookmarkStart w:id="98" w:name="_Toc22384"/>
      <w:r>
        <w:rPr>
          <w:rFonts w:hint="eastAsia" w:ascii="宋体" w:hAnsi="宋体" w:cs="宋体"/>
          <w:b/>
          <w:bCs/>
          <w:color w:val="auto"/>
          <w:szCs w:val="21"/>
          <w:highlight w:val="none"/>
        </w:rPr>
        <w:t>10.评标办法</w:t>
      </w:r>
      <w:bookmarkEnd w:id="97"/>
      <w:bookmarkEnd w:id="98"/>
    </w:p>
    <w:p w14:paraId="28DB0E92">
      <w:pPr>
        <w:spacing w:line="440" w:lineRule="exact"/>
        <w:ind w:firstLine="420" w:firstLineChars="200"/>
        <w:jc w:val="left"/>
        <w:outlineLvl w:val="3"/>
        <w:rPr>
          <w:rFonts w:hint="eastAsia" w:ascii="宋体" w:hAnsi="宋体" w:cs="宋体"/>
          <w:b/>
          <w:bCs/>
          <w:color w:val="auto"/>
          <w:szCs w:val="21"/>
          <w:highlight w:val="none"/>
        </w:rPr>
      </w:pPr>
      <w:r>
        <w:rPr>
          <w:rFonts w:hint="eastAsia" w:ascii="宋体" w:hAnsi="宋体" w:cs="宋体"/>
          <w:color w:val="auto"/>
          <w:szCs w:val="21"/>
          <w:highlight w:val="none"/>
        </w:rPr>
        <w:t>10.1本项目评标办法：</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 xml:space="preserve"> </w:t>
      </w:r>
    </w:p>
    <w:p w14:paraId="427C0ED0">
      <w:pPr>
        <w:spacing w:before="156" w:beforeLines="50" w:after="156" w:afterLines="50" w:line="440" w:lineRule="exact"/>
        <w:jc w:val="center"/>
        <w:outlineLvl w:val="1"/>
        <w:rPr>
          <w:rFonts w:hint="eastAsia" w:ascii="宋体" w:hAnsi="宋体" w:cs="宋体"/>
          <w:color w:val="auto"/>
          <w:szCs w:val="21"/>
          <w:highlight w:val="none"/>
        </w:rPr>
      </w:pPr>
      <w:bookmarkStart w:id="99" w:name="_Toc31559"/>
      <w:bookmarkStart w:id="100" w:name="_Toc27229"/>
      <w:r>
        <w:rPr>
          <w:rFonts w:hint="eastAsia" w:ascii="宋体" w:hAnsi="宋体" w:cs="宋体"/>
          <w:b/>
          <w:bCs/>
          <w:color w:val="auto"/>
          <w:sz w:val="28"/>
          <w:szCs w:val="28"/>
          <w:highlight w:val="none"/>
        </w:rPr>
        <w:t>二、采购文件</w:t>
      </w:r>
      <w:bookmarkEnd w:id="99"/>
      <w:bookmarkEnd w:id="100"/>
    </w:p>
    <w:p w14:paraId="3D7301AA">
      <w:pPr>
        <w:spacing w:line="440" w:lineRule="exact"/>
        <w:ind w:firstLine="422" w:firstLineChars="200"/>
        <w:jc w:val="left"/>
        <w:outlineLvl w:val="2"/>
        <w:rPr>
          <w:rFonts w:hint="eastAsia" w:ascii="宋体" w:hAnsi="宋体" w:cs="宋体"/>
          <w:b/>
          <w:bCs/>
          <w:color w:val="auto"/>
          <w:szCs w:val="21"/>
          <w:highlight w:val="none"/>
        </w:rPr>
      </w:pPr>
      <w:bookmarkStart w:id="101" w:name="_Toc3348"/>
      <w:bookmarkStart w:id="102" w:name="_Toc17846"/>
      <w:r>
        <w:rPr>
          <w:rFonts w:hint="eastAsia" w:ascii="宋体" w:hAnsi="宋体" w:cs="宋体"/>
          <w:b/>
          <w:bCs/>
          <w:color w:val="auto"/>
          <w:szCs w:val="21"/>
          <w:highlight w:val="none"/>
        </w:rPr>
        <w:t>11.采购文件的编制依据</w:t>
      </w:r>
      <w:bookmarkEnd w:id="101"/>
      <w:bookmarkEnd w:id="102"/>
    </w:p>
    <w:p w14:paraId="0DB7670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11.1参照相关法律法规和规章及部、省、市级规范性文件的规定，编制本项目采购文件。</w:t>
      </w:r>
    </w:p>
    <w:p w14:paraId="78F471E0">
      <w:pPr>
        <w:spacing w:line="440" w:lineRule="exact"/>
        <w:ind w:firstLine="422" w:firstLineChars="200"/>
        <w:jc w:val="left"/>
        <w:outlineLvl w:val="2"/>
        <w:rPr>
          <w:rFonts w:hint="eastAsia" w:ascii="宋体" w:hAnsi="宋体" w:cs="宋体"/>
          <w:b/>
          <w:bCs/>
          <w:color w:val="auto"/>
          <w:szCs w:val="21"/>
          <w:highlight w:val="none"/>
        </w:rPr>
      </w:pPr>
      <w:bookmarkStart w:id="103" w:name="_Toc14181"/>
      <w:bookmarkStart w:id="104" w:name="_Toc28477"/>
      <w:r>
        <w:rPr>
          <w:rFonts w:hint="eastAsia" w:ascii="宋体" w:hAnsi="宋体" w:cs="宋体"/>
          <w:b/>
          <w:bCs/>
          <w:color w:val="auto"/>
          <w:szCs w:val="21"/>
          <w:highlight w:val="none"/>
        </w:rPr>
        <w:t>12.采购文件的组成</w:t>
      </w:r>
      <w:bookmarkEnd w:id="103"/>
      <w:bookmarkEnd w:id="104"/>
    </w:p>
    <w:p w14:paraId="4DF81ECE">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12.1采购文件包括内容：</w:t>
      </w:r>
    </w:p>
    <w:p w14:paraId="6F6108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投标公告</w:t>
      </w:r>
    </w:p>
    <w:p w14:paraId="1819B33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w:t>
      </w:r>
    </w:p>
    <w:p w14:paraId="5CBB9F9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282856C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采购内容及技术要求</w:t>
      </w:r>
    </w:p>
    <w:p w14:paraId="358446C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66E7AC1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投标文件格式文本</w:t>
      </w:r>
    </w:p>
    <w:p w14:paraId="187A6C8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采购单位、招标代理机构对本文件的确认</w:t>
      </w:r>
    </w:p>
    <w:p w14:paraId="6977BFB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  除12.1内容外，招标答疑亦为采购文件的组成部分，对采购人和投标供应商起约束作用。</w:t>
      </w:r>
    </w:p>
    <w:p w14:paraId="42590AF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  投标供应商同时应认真审阅采购文件中所有的事项、格式、条款和规范要求等，若投标供应商的投标文件没有按采购文件要求提交全部资料，或投标文件没有对采购文件作出实质性响应，其风险由投标供应商自行承担，并根据有关条款规定，该投标有可能被拒绝。</w:t>
      </w:r>
    </w:p>
    <w:p w14:paraId="35CA5D32">
      <w:pPr>
        <w:spacing w:line="440" w:lineRule="exact"/>
        <w:ind w:firstLine="422" w:firstLineChars="200"/>
        <w:jc w:val="left"/>
        <w:outlineLvl w:val="2"/>
        <w:rPr>
          <w:rFonts w:hint="eastAsia" w:ascii="宋体" w:hAnsi="宋体" w:cs="宋体"/>
          <w:b/>
          <w:bCs/>
          <w:color w:val="auto"/>
          <w:szCs w:val="21"/>
          <w:highlight w:val="none"/>
        </w:rPr>
      </w:pPr>
      <w:bookmarkStart w:id="105" w:name="_Toc27429"/>
      <w:bookmarkStart w:id="106" w:name="_Toc21044"/>
      <w:r>
        <w:rPr>
          <w:rFonts w:hint="eastAsia" w:ascii="宋体" w:hAnsi="宋体" w:cs="宋体"/>
          <w:b/>
          <w:bCs/>
          <w:color w:val="auto"/>
          <w:szCs w:val="21"/>
          <w:highlight w:val="none"/>
        </w:rPr>
        <w:t>13.   采购文件的澄清、修改、补充、解释</w:t>
      </w:r>
      <w:bookmarkEnd w:id="105"/>
      <w:bookmarkEnd w:id="106"/>
    </w:p>
    <w:p w14:paraId="2DBC438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kern w:val="0"/>
          <w:szCs w:val="21"/>
          <w:highlight w:val="none"/>
          <w:lang w:val="zh-CN"/>
        </w:rPr>
        <w:t>采购文件发出后，采购人可对采购文件进行必要的澄清、修改和补充，具有约束作用</w:t>
      </w:r>
      <w:r>
        <w:rPr>
          <w:rFonts w:hint="eastAsia" w:ascii="宋体" w:hAnsi="宋体" w:cs="宋体"/>
          <w:color w:val="auto"/>
          <w:szCs w:val="21"/>
          <w:highlight w:val="none"/>
        </w:rPr>
        <w:t>。</w:t>
      </w:r>
    </w:p>
    <w:p w14:paraId="7029F4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本采购文件由采购人（或其委托的代理机构）负责解释。</w:t>
      </w:r>
    </w:p>
    <w:p w14:paraId="542FDD7D">
      <w:pPr>
        <w:spacing w:line="440" w:lineRule="exact"/>
        <w:ind w:firstLine="422" w:firstLineChars="200"/>
        <w:jc w:val="left"/>
        <w:outlineLvl w:val="2"/>
        <w:rPr>
          <w:rFonts w:hint="eastAsia" w:ascii="宋体" w:hAnsi="宋体" w:cs="宋体"/>
          <w:b/>
          <w:bCs/>
          <w:color w:val="auto"/>
          <w:szCs w:val="21"/>
          <w:highlight w:val="none"/>
        </w:rPr>
      </w:pPr>
      <w:bookmarkStart w:id="107" w:name="_Toc19558"/>
      <w:bookmarkStart w:id="108" w:name="_Toc18862"/>
      <w:r>
        <w:rPr>
          <w:rFonts w:hint="eastAsia" w:ascii="宋体" w:hAnsi="宋体" w:cs="宋体"/>
          <w:b/>
          <w:bCs/>
          <w:color w:val="auto"/>
          <w:szCs w:val="21"/>
          <w:highlight w:val="none"/>
        </w:rPr>
        <w:t>14.   踏勘现场</w:t>
      </w:r>
      <w:bookmarkEnd w:id="107"/>
      <w:bookmarkEnd w:id="108"/>
    </w:p>
    <w:p w14:paraId="028BA81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投标供应商自行进行踏勘，以便投标供应商获取有关编制投标文件和签署合同所涉及现场的资料。投标供应商承担踏勘现场所发生的自身费用。</w:t>
      </w:r>
    </w:p>
    <w:p w14:paraId="32853261">
      <w:pPr>
        <w:spacing w:before="156" w:beforeLines="50" w:after="156" w:afterLines="50" w:line="440" w:lineRule="exact"/>
        <w:jc w:val="center"/>
        <w:outlineLvl w:val="1"/>
        <w:rPr>
          <w:rFonts w:hint="eastAsia" w:ascii="宋体" w:hAnsi="宋体" w:cs="宋体"/>
          <w:b/>
          <w:bCs/>
          <w:color w:val="auto"/>
          <w:sz w:val="28"/>
          <w:szCs w:val="28"/>
          <w:highlight w:val="none"/>
        </w:rPr>
      </w:pPr>
      <w:bookmarkStart w:id="109" w:name="_Toc11879"/>
      <w:bookmarkStart w:id="110" w:name="_Toc3073"/>
      <w:r>
        <w:rPr>
          <w:rFonts w:hint="eastAsia" w:ascii="宋体" w:hAnsi="宋体" w:cs="宋体"/>
          <w:b/>
          <w:bCs/>
          <w:color w:val="auto"/>
          <w:sz w:val="28"/>
          <w:szCs w:val="28"/>
          <w:highlight w:val="none"/>
        </w:rPr>
        <w:t>三、投标文件的编制</w:t>
      </w:r>
      <w:bookmarkEnd w:id="109"/>
      <w:bookmarkEnd w:id="110"/>
    </w:p>
    <w:p w14:paraId="7D7CB119">
      <w:pPr>
        <w:spacing w:line="440" w:lineRule="exact"/>
        <w:ind w:firstLine="422" w:firstLineChars="200"/>
        <w:outlineLvl w:val="2"/>
        <w:rPr>
          <w:rFonts w:hint="eastAsia" w:ascii="宋体" w:hAnsi="宋体" w:cs="宋体"/>
          <w:b/>
          <w:bCs/>
          <w:color w:val="auto"/>
          <w:szCs w:val="21"/>
          <w:highlight w:val="none"/>
        </w:rPr>
      </w:pPr>
      <w:bookmarkStart w:id="111" w:name="_Toc2423"/>
      <w:bookmarkStart w:id="112" w:name="_Toc10504"/>
      <w:r>
        <w:rPr>
          <w:rFonts w:hint="eastAsia" w:ascii="宋体" w:hAnsi="宋体" w:cs="宋体"/>
          <w:b/>
          <w:bCs/>
          <w:color w:val="auto"/>
          <w:szCs w:val="21"/>
          <w:highlight w:val="none"/>
        </w:rPr>
        <w:t>15.   投标文件的组成</w:t>
      </w:r>
      <w:bookmarkEnd w:id="111"/>
      <w:bookmarkEnd w:id="112"/>
    </w:p>
    <w:p w14:paraId="3132FDC2">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15.1  投标文件包括资格证明文件、技术标、商务标三部分：</w:t>
      </w:r>
    </w:p>
    <w:p w14:paraId="601100AC">
      <w:pPr>
        <w:spacing w:line="440" w:lineRule="exact"/>
        <w:ind w:firstLine="422" w:firstLineChars="200"/>
        <w:outlineLvl w:val="4"/>
        <w:rPr>
          <w:rFonts w:hint="eastAsia" w:ascii="宋体" w:hAnsi="宋体" w:cs="宋体"/>
          <w:b/>
          <w:bCs/>
          <w:color w:val="auto"/>
          <w:szCs w:val="21"/>
          <w:highlight w:val="none"/>
        </w:rPr>
      </w:pPr>
      <w:r>
        <w:rPr>
          <w:rFonts w:hint="eastAsia" w:ascii="宋体" w:hAnsi="宋体" w:cs="宋体"/>
          <w:b/>
          <w:bCs/>
          <w:color w:val="auto"/>
          <w:szCs w:val="21"/>
          <w:highlight w:val="none"/>
        </w:rPr>
        <w:t>15.1.1资格证明文件：</w:t>
      </w:r>
    </w:p>
    <w:p w14:paraId="1C46A1B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（1）法定代表人身份证明及其有效身份证（或法定代表人授权委托书及其有效身份证）（格式见附件）；</w:t>
      </w:r>
    </w:p>
    <w:p w14:paraId="691B03DE">
      <w:pPr>
        <w:spacing w:line="440" w:lineRule="exact"/>
        <w:ind w:firstLine="420" w:firstLineChars="200"/>
        <w:outlineLvl w:val="0"/>
        <w:rPr>
          <w:rFonts w:hint="eastAsia" w:ascii="宋体" w:hAnsi="宋体" w:cs="宋体"/>
          <w:color w:val="auto"/>
          <w:szCs w:val="21"/>
          <w:highlight w:val="none"/>
        </w:rPr>
      </w:pPr>
      <w:bookmarkStart w:id="113" w:name="_Toc360"/>
      <w:bookmarkStart w:id="114" w:name="_Toc18357"/>
      <w:r>
        <w:rPr>
          <w:rFonts w:hint="eastAsia" w:ascii="宋体" w:hAnsi="宋体" w:cs="宋体"/>
          <w:color w:val="auto"/>
          <w:szCs w:val="21"/>
          <w:highlight w:val="none"/>
        </w:rPr>
        <w:t>（2）投标供应商有效的营业执照（或三证合一的有效证件）；</w:t>
      </w:r>
      <w:bookmarkEnd w:id="113"/>
      <w:bookmarkEnd w:id="114"/>
    </w:p>
    <w:p w14:paraId="5E729E6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（3）参加采购活动近三年内，在经营活动中没有重大违法记录的声明（格式自拟）；</w:t>
      </w:r>
    </w:p>
    <w:p w14:paraId="451A96C3">
      <w:pPr>
        <w:spacing w:line="440" w:lineRule="exact"/>
        <w:ind w:firstLine="420" w:firstLineChars="200"/>
        <w:outlineLvl w:val="0"/>
        <w:rPr>
          <w:rFonts w:hint="eastAsia" w:ascii="宋体" w:hAnsi="宋体" w:cs="宋体"/>
          <w:color w:val="auto"/>
          <w:szCs w:val="21"/>
          <w:highlight w:val="none"/>
        </w:rPr>
      </w:pPr>
      <w:bookmarkStart w:id="115" w:name="_Toc24819"/>
      <w:bookmarkStart w:id="116" w:name="_Toc7500"/>
      <w:r>
        <w:rPr>
          <w:rFonts w:hint="eastAsia" w:ascii="宋体" w:hAnsi="宋体" w:cs="宋体"/>
          <w:color w:val="auto"/>
          <w:szCs w:val="21"/>
          <w:highlight w:val="none"/>
        </w:rPr>
        <w:t>（4）诚信投标承诺书（格式见附件）；</w:t>
      </w:r>
      <w:bookmarkEnd w:id="115"/>
      <w:bookmarkEnd w:id="116"/>
    </w:p>
    <w:p w14:paraId="3F10B73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（5）资信标中要求提供的其他相关资料和资格评分细则中需要提供的其他相关资料；</w:t>
      </w:r>
    </w:p>
    <w:p w14:paraId="34A86FB5">
      <w:pPr>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资信</w:t>
      </w:r>
      <w:r>
        <w:rPr>
          <w:rFonts w:hint="eastAsia" w:ascii="宋体" w:hAnsi="宋体" w:cs="宋体"/>
          <w:b/>
          <w:bCs/>
          <w:color w:val="auto"/>
          <w:szCs w:val="21"/>
          <w:highlight w:val="none"/>
        </w:rPr>
        <w:t>文件的完整与否，直接影响供应商的评审</w:t>
      </w:r>
      <w:r>
        <w:rPr>
          <w:rFonts w:hint="eastAsia" w:ascii="宋体" w:hAnsi="宋体" w:cs="宋体"/>
          <w:b/>
          <w:bCs/>
          <w:color w:val="auto"/>
          <w:kern w:val="0"/>
          <w:szCs w:val="21"/>
          <w:highlight w:val="none"/>
          <w:u w:val="none" w:color="000000"/>
        </w:rPr>
        <w:t>。</w:t>
      </w:r>
    </w:p>
    <w:p w14:paraId="13BF35DE">
      <w:pPr>
        <w:spacing w:line="440" w:lineRule="exact"/>
        <w:ind w:firstLine="422" w:firstLineChars="200"/>
        <w:jc w:val="left"/>
        <w:outlineLvl w:val="1"/>
        <w:rPr>
          <w:rFonts w:hint="eastAsia" w:ascii="宋体" w:hAnsi="宋体" w:cs="宋体"/>
          <w:b/>
          <w:bCs/>
          <w:color w:val="auto"/>
          <w:kern w:val="0"/>
          <w:szCs w:val="21"/>
          <w:highlight w:val="none"/>
          <w:u w:val="none" w:color="000000"/>
        </w:rPr>
      </w:pPr>
      <w:bookmarkStart w:id="117" w:name="_Toc1024"/>
      <w:bookmarkStart w:id="118" w:name="_Toc3841"/>
      <w:r>
        <w:rPr>
          <w:rFonts w:hint="eastAsia" w:ascii="宋体" w:hAnsi="宋体" w:cs="宋体"/>
          <w:b/>
          <w:bCs/>
          <w:color w:val="auto"/>
          <w:kern w:val="0"/>
          <w:szCs w:val="21"/>
          <w:highlight w:val="none"/>
          <w:u w:val="none" w:color="000000"/>
        </w:rPr>
        <w:t>15.1.2技术标：</w:t>
      </w:r>
      <w:bookmarkEnd w:id="117"/>
      <w:bookmarkEnd w:id="118"/>
    </w:p>
    <w:p w14:paraId="39D3DE51">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（1）详细的货物名称、规格、技术参数等【附技术参数响应表、货物的详细配置清单，格式见附件】；</w:t>
      </w:r>
    </w:p>
    <w:p w14:paraId="14EEDE2D">
      <w:pPr>
        <w:spacing w:line="440" w:lineRule="exact"/>
        <w:ind w:firstLine="420" w:firstLineChars="200"/>
        <w:jc w:val="left"/>
        <w:rPr>
          <w:rStyle w:val="47"/>
          <w:rFonts w:hint="eastAsia" w:ascii="Calibri" w:hAnsi="Calibri"/>
          <w:color w:val="auto"/>
          <w:highlight w:val="none"/>
        </w:rPr>
      </w:pPr>
      <w:r>
        <w:rPr>
          <w:rFonts w:hint="eastAsia" w:ascii="宋体" w:hAnsi="宋体" w:cs="宋体"/>
          <w:bCs/>
          <w:color w:val="auto"/>
          <w:szCs w:val="21"/>
          <w:highlight w:val="none"/>
        </w:rPr>
        <w:t>（2）服务方案（包括但不限于安装实施方案</w:t>
      </w:r>
      <w:r>
        <w:rPr>
          <w:rStyle w:val="47"/>
          <w:rFonts w:hint="eastAsia" w:ascii="Calibri" w:hAnsi="Calibri"/>
          <w:color w:val="auto"/>
          <w:highlight w:val="none"/>
        </w:rPr>
        <w:t>、</w:t>
      </w:r>
      <w:r>
        <w:rPr>
          <w:rFonts w:hint="eastAsia" w:ascii="宋体" w:hAnsi="宋体" w:cs="宋体"/>
          <w:bCs/>
          <w:color w:val="auto"/>
          <w:szCs w:val="21"/>
          <w:highlight w:val="none"/>
        </w:rPr>
        <w:t>技术方案、数据安全方案</w:t>
      </w:r>
      <w:r>
        <w:rPr>
          <w:rStyle w:val="47"/>
          <w:rFonts w:hint="eastAsia" w:ascii="Calibri" w:hAnsi="Calibri"/>
          <w:color w:val="auto"/>
          <w:highlight w:val="none"/>
        </w:rPr>
        <w:t>、</w:t>
      </w:r>
      <w:r>
        <w:rPr>
          <w:rFonts w:hint="eastAsia" w:ascii="宋体" w:hAnsi="宋体" w:cs="宋体"/>
          <w:bCs/>
          <w:color w:val="auto"/>
          <w:szCs w:val="21"/>
          <w:highlight w:val="none"/>
        </w:rPr>
        <w:t>数据迁移方案</w:t>
      </w:r>
      <w:r>
        <w:rPr>
          <w:rStyle w:val="47"/>
          <w:rFonts w:hint="eastAsia" w:ascii="Calibri" w:hAnsi="Calibri"/>
          <w:color w:val="auto"/>
          <w:highlight w:val="none"/>
        </w:rPr>
        <w:t>、</w:t>
      </w:r>
      <w:r>
        <w:rPr>
          <w:rFonts w:hint="eastAsia" w:ascii="宋体" w:hAnsi="宋体" w:cs="宋体"/>
          <w:bCs/>
          <w:color w:val="auto"/>
          <w:szCs w:val="21"/>
          <w:highlight w:val="none"/>
        </w:rPr>
        <w:t>售后服务承诺</w:t>
      </w:r>
      <w:r>
        <w:rPr>
          <w:rStyle w:val="47"/>
          <w:rFonts w:hint="eastAsia" w:ascii="Calibri" w:hAnsi="Calibri"/>
          <w:color w:val="auto"/>
          <w:highlight w:val="none"/>
        </w:rPr>
        <w:t>等</w:t>
      </w:r>
      <w:r>
        <w:rPr>
          <w:rFonts w:hint="eastAsia" w:ascii="宋体" w:hAnsi="宋体" w:cs="宋体"/>
          <w:bCs/>
          <w:color w:val="auto"/>
          <w:szCs w:val="21"/>
          <w:highlight w:val="none"/>
        </w:rPr>
        <w:t>）</w:t>
      </w:r>
    </w:p>
    <w:p w14:paraId="6F38BFE4">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（3）技术标中要求提供的其他相关资料和技术标评分细则中需要提供的其他相关资料；</w:t>
      </w:r>
    </w:p>
    <w:p w14:paraId="0F19C912">
      <w:pPr>
        <w:spacing w:line="440" w:lineRule="exact"/>
        <w:ind w:firstLine="422" w:firstLineChars="200"/>
        <w:rPr>
          <w:rFonts w:hint="eastAsia" w:ascii="宋体" w:hAnsi="宋体" w:cs="宋体"/>
          <w:color w:val="auto"/>
          <w:kern w:val="0"/>
          <w:szCs w:val="21"/>
          <w:highlight w:val="none"/>
          <w:u w:val="none" w:color="000000"/>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技术</w:t>
      </w:r>
      <w:r>
        <w:rPr>
          <w:rFonts w:hint="eastAsia" w:ascii="宋体" w:hAnsi="宋体" w:cs="宋体"/>
          <w:b/>
          <w:bCs/>
          <w:color w:val="auto"/>
          <w:szCs w:val="21"/>
          <w:highlight w:val="none"/>
        </w:rPr>
        <w:t>标文件的完整与否，直接影响供应商的评审</w:t>
      </w:r>
      <w:r>
        <w:rPr>
          <w:rFonts w:hint="eastAsia" w:ascii="宋体" w:hAnsi="宋体" w:cs="宋体"/>
          <w:b/>
          <w:bCs/>
          <w:color w:val="auto"/>
          <w:kern w:val="0"/>
          <w:szCs w:val="21"/>
          <w:highlight w:val="none"/>
          <w:u w:val="none" w:color="000000"/>
        </w:rPr>
        <w:t>。</w:t>
      </w:r>
    </w:p>
    <w:p w14:paraId="2C7294C5">
      <w:pPr>
        <w:spacing w:line="440" w:lineRule="exact"/>
        <w:ind w:firstLine="422" w:firstLineChars="200"/>
        <w:jc w:val="left"/>
        <w:outlineLvl w:val="1"/>
        <w:rPr>
          <w:rFonts w:hint="eastAsia" w:ascii="宋体" w:hAnsi="宋体" w:cs="宋体"/>
          <w:b/>
          <w:bCs/>
          <w:color w:val="auto"/>
          <w:highlight w:val="none"/>
        </w:rPr>
      </w:pPr>
      <w:bookmarkStart w:id="119" w:name="_Toc14374"/>
      <w:bookmarkStart w:id="120" w:name="_Toc8894"/>
      <w:r>
        <w:rPr>
          <w:rFonts w:hint="eastAsia" w:ascii="宋体" w:hAnsi="宋体" w:cs="宋体"/>
          <w:b/>
          <w:bCs/>
          <w:color w:val="auto"/>
          <w:kern w:val="0"/>
          <w:szCs w:val="21"/>
          <w:highlight w:val="none"/>
          <w:u w:val="none" w:color="000000"/>
        </w:rPr>
        <w:t>15.1.3商务标：</w:t>
      </w:r>
      <w:bookmarkEnd w:id="119"/>
      <w:bookmarkEnd w:id="120"/>
    </w:p>
    <w:p w14:paraId="1A8759D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（1）开标一览表（格式见附件）；</w:t>
      </w:r>
    </w:p>
    <w:p w14:paraId="2A9DDE3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（2）投标函（格式见附件）；</w:t>
      </w:r>
    </w:p>
    <w:p w14:paraId="1FE9CDB4">
      <w:pPr>
        <w:spacing w:line="440" w:lineRule="exact"/>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商务</w:t>
      </w:r>
      <w:r>
        <w:rPr>
          <w:rFonts w:hint="eastAsia" w:ascii="宋体" w:hAnsi="宋体" w:cs="宋体"/>
          <w:b/>
          <w:bCs/>
          <w:color w:val="auto"/>
          <w:szCs w:val="21"/>
          <w:highlight w:val="none"/>
        </w:rPr>
        <w:t>标文件的完整与否，直接影响供应商的评审</w:t>
      </w:r>
      <w:r>
        <w:rPr>
          <w:rFonts w:hint="eastAsia" w:ascii="宋体" w:hAnsi="宋体" w:cs="宋体"/>
          <w:b/>
          <w:bCs/>
          <w:color w:val="auto"/>
          <w:kern w:val="0"/>
          <w:szCs w:val="21"/>
          <w:highlight w:val="none"/>
          <w:u w:val="none" w:color="000000"/>
        </w:rPr>
        <w:t>。</w:t>
      </w:r>
    </w:p>
    <w:p w14:paraId="2749087A">
      <w:pPr>
        <w:spacing w:line="440" w:lineRule="exact"/>
        <w:ind w:firstLine="420" w:firstLineChars="200"/>
        <w:outlineLvl w:val="1"/>
        <w:rPr>
          <w:rFonts w:hint="eastAsia" w:ascii="宋体" w:hAnsi="宋体" w:cs="宋体"/>
          <w:color w:val="auto"/>
          <w:szCs w:val="21"/>
          <w:highlight w:val="none"/>
        </w:rPr>
      </w:pPr>
      <w:bookmarkStart w:id="121" w:name="_Toc220"/>
      <w:bookmarkStart w:id="122" w:name="_Toc2053"/>
      <w:r>
        <w:rPr>
          <w:rFonts w:hint="eastAsia" w:ascii="宋体" w:hAnsi="宋体" w:cs="宋体"/>
          <w:color w:val="auto"/>
          <w:szCs w:val="21"/>
          <w:highlight w:val="none"/>
        </w:rPr>
        <w:t>16．</w:t>
      </w:r>
      <w:r>
        <w:rPr>
          <w:rFonts w:hint="eastAsia" w:ascii="宋体" w:hAnsi="宋体" w:cs="宋体"/>
          <w:b/>
          <w:color w:val="auto"/>
          <w:szCs w:val="21"/>
          <w:highlight w:val="none"/>
        </w:rPr>
        <w:t>投标报价</w:t>
      </w:r>
      <w:bookmarkEnd w:id="121"/>
      <w:bookmarkEnd w:id="122"/>
    </w:p>
    <w:p w14:paraId="7FA9DA0F">
      <w:pPr>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kern w:val="0"/>
          <w:szCs w:val="21"/>
          <w:highlight w:val="none"/>
        </w:rPr>
        <w:t>16.1本次采购标书中只允许有一个方案，一个报价，多方案、多报价的将不被接受。</w:t>
      </w:r>
      <w:r>
        <w:rPr>
          <w:rFonts w:hint="eastAsia" w:ascii="宋体" w:hAnsi="宋体" w:cs="宋体"/>
          <w:b/>
          <w:bCs/>
          <w:color w:val="auto"/>
          <w:szCs w:val="21"/>
          <w:highlight w:val="none"/>
        </w:rPr>
        <w:t xml:space="preserve"> </w:t>
      </w:r>
    </w:p>
    <w:p w14:paraId="0CC12A58">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16.2报价时报价人应就本采购文件所提供的技术支持与服务做出书面承诺；</w:t>
      </w:r>
    </w:p>
    <w:p w14:paraId="5A63584B">
      <w:pPr>
        <w:widowControl/>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16.3</w:t>
      </w:r>
      <w:r>
        <w:rPr>
          <w:rFonts w:hint="eastAsia" w:ascii="宋体" w:hAnsi="宋体" w:cs="宋体"/>
          <w:b/>
          <w:bCs/>
          <w:color w:val="auto"/>
          <w:szCs w:val="21"/>
          <w:highlight w:val="none"/>
        </w:rPr>
        <w:t>本项目最高限价为贰拾伍万元整（250000.00元），供应商的响应报价不得高于采购人发布的最高限价，否则按无效标处理。</w:t>
      </w:r>
    </w:p>
    <w:p w14:paraId="1E6BB12A">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16.4投标报价书格式中所有要求签字、盖章的地方，必须由规定的单位和人员签字、盖章。</w:t>
      </w:r>
    </w:p>
    <w:p w14:paraId="64E76E03">
      <w:pPr>
        <w:spacing w:before="156" w:beforeLines="50" w:after="156" w:afterLines="50" w:line="440" w:lineRule="exact"/>
        <w:jc w:val="center"/>
        <w:outlineLvl w:val="1"/>
        <w:rPr>
          <w:rFonts w:hint="eastAsia" w:ascii="宋体" w:hAnsi="宋体" w:cs="宋体"/>
          <w:b/>
          <w:bCs/>
          <w:color w:val="auto"/>
          <w:sz w:val="28"/>
          <w:szCs w:val="28"/>
          <w:highlight w:val="none"/>
        </w:rPr>
      </w:pPr>
      <w:bookmarkStart w:id="123" w:name="_Toc23927"/>
      <w:bookmarkStart w:id="124" w:name="_Toc18457"/>
      <w:r>
        <w:rPr>
          <w:rFonts w:hint="eastAsia" w:ascii="宋体" w:hAnsi="宋体" w:cs="宋体"/>
          <w:b/>
          <w:bCs/>
          <w:color w:val="auto"/>
          <w:sz w:val="28"/>
          <w:szCs w:val="28"/>
          <w:highlight w:val="none"/>
        </w:rPr>
        <w:t>四、投标文件的密封和递交</w:t>
      </w:r>
      <w:bookmarkEnd w:id="123"/>
      <w:bookmarkEnd w:id="124"/>
    </w:p>
    <w:p w14:paraId="4B96A774">
      <w:pPr>
        <w:spacing w:line="440" w:lineRule="exact"/>
        <w:ind w:firstLine="422" w:firstLineChars="200"/>
        <w:outlineLvl w:val="2"/>
        <w:rPr>
          <w:rFonts w:hint="eastAsia" w:ascii="宋体" w:hAnsi="宋体" w:cs="宋体"/>
          <w:b/>
          <w:bCs/>
          <w:color w:val="auto"/>
          <w:szCs w:val="21"/>
          <w:highlight w:val="none"/>
        </w:rPr>
      </w:pPr>
      <w:bookmarkStart w:id="125" w:name="_Toc23014"/>
      <w:bookmarkStart w:id="126" w:name="_Toc23252"/>
      <w:r>
        <w:rPr>
          <w:rFonts w:hint="eastAsia" w:ascii="宋体" w:hAnsi="宋体" w:cs="宋体"/>
          <w:b/>
          <w:bCs/>
          <w:color w:val="auto"/>
          <w:szCs w:val="21"/>
          <w:highlight w:val="none"/>
        </w:rPr>
        <w:t>17.   投标文件的份数和签署（投标文件编制、密封）</w:t>
      </w:r>
      <w:bookmarkEnd w:id="125"/>
      <w:bookmarkEnd w:id="126"/>
    </w:p>
    <w:p w14:paraId="344B24E0">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17.1  投标文件：书面文件一式</w:t>
      </w:r>
      <w:r>
        <w:rPr>
          <w:rFonts w:hint="eastAsia" w:ascii="宋体" w:hAnsi="宋体" w:cs="宋体"/>
          <w:color w:val="auto"/>
          <w:szCs w:val="21"/>
          <w:highlight w:val="none"/>
          <w:u w:val="single"/>
        </w:rPr>
        <w:t xml:space="preserve">  三份</w:t>
      </w:r>
      <w:r>
        <w:rPr>
          <w:rFonts w:hint="eastAsia" w:ascii="宋体" w:hAnsi="宋体" w:cs="宋体"/>
          <w:color w:val="auto"/>
          <w:szCs w:val="21"/>
          <w:highlight w:val="none"/>
        </w:rPr>
        <w:t>，正本</w:t>
      </w:r>
      <w:r>
        <w:rPr>
          <w:rFonts w:hint="eastAsia" w:ascii="宋体" w:hAnsi="宋体" w:cs="宋体"/>
          <w:color w:val="auto"/>
          <w:szCs w:val="21"/>
          <w:highlight w:val="none"/>
          <w:u w:val="single"/>
        </w:rPr>
        <w:t xml:space="preserve"> 一 份</w:t>
      </w:r>
      <w:r>
        <w:rPr>
          <w:rFonts w:hint="eastAsia" w:ascii="宋体" w:hAnsi="宋体" w:cs="宋体"/>
          <w:color w:val="auto"/>
          <w:szCs w:val="21"/>
          <w:highlight w:val="none"/>
        </w:rPr>
        <w:t>，副本</w:t>
      </w:r>
      <w:r>
        <w:rPr>
          <w:rFonts w:hint="eastAsia" w:ascii="宋体" w:hAnsi="宋体" w:cs="宋体"/>
          <w:color w:val="auto"/>
          <w:szCs w:val="21"/>
          <w:highlight w:val="none"/>
          <w:u w:val="single"/>
        </w:rPr>
        <w:t xml:space="preserve"> 二 份</w:t>
      </w:r>
      <w:r>
        <w:rPr>
          <w:rFonts w:hint="eastAsia" w:ascii="宋体" w:hAnsi="宋体" w:cs="宋体"/>
          <w:b/>
          <w:color w:val="auto"/>
          <w:kern w:val="0"/>
          <w:szCs w:val="21"/>
          <w:highlight w:val="none"/>
        </w:rPr>
        <w:t>。</w:t>
      </w:r>
    </w:p>
    <w:p w14:paraId="67E222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投标文件的正本和副本均需打印或使用不褪色的蓝、黑墨水笔书写，字迹应清晰易于辨认，并应在投标文件封面的右上角清楚地注明“正本”或“副本”。正本和副本如有不一致之处，以正本为准。</w:t>
      </w:r>
    </w:p>
    <w:p w14:paraId="42A6813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17.3 </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投标文件中的授权书、诚信投标承诺书、服务承诺、投标函及投标报价表等材料应当在格式文本要求的相应位置签字和盖章，</w:t>
      </w:r>
      <w:r>
        <w:rPr>
          <w:rFonts w:hint="eastAsia" w:ascii="宋体" w:hAnsi="宋体" w:cs="宋体"/>
          <w:b/>
          <w:color w:val="auto"/>
          <w:szCs w:val="21"/>
          <w:highlight w:val="none"/>
        </w:rPr>
        <w:t>否则</w:t>
      </w:r>
      <w:r>
        <w:rPr>
          <w:rFonts w:hint="eastAsia" w:ascii="宋体" w:hAnsi="宋体" w:cs="宋体"/>
          <w:color w:val="auto"/>
          <w:szCs w:val="21"/>
          <w:highlight w:val="none"/>
        </w:rPr>
        <w:t>，投标文件作无效标处理。</w:t>
      </w:r>
    </w:p>
    <w:p w14:paraId="329F5A7F">
      <w:pPr>
        <w:spacing w:line="440" w:lineRule="exact"/>
        <w:ind w:firstLine="422" w:firstLineChars="200"/>
        <w:jc w:val="left"/>
        <w:outlineLvl w:val="2"/>
        <w:rPr>
          <w:rFonts w:hint="eastAsia" w:ascii="宋体" w:hAnsi="宋体" w:cs="宋体"/>
          <w:b/>
          <w:bCs/>
          <w:color w:val="auto"/>
          <w:szCs w:val="21"/>
          <w:highlight w:val="none"/>
        </w:rPr>
      </w:pPr>
      <w:bookmarkStart w:id="127" w:name="_Toc19082"/>
      <w:bookmarkStart w:id="128" w:name="_Toc435"/>
      <w:r>
        <w:rPr>
          <w:rFonts w:hint="eastAsia" w:ascii="宋体" w:hAnsi="宋体" w:cs="宋体"/>
          <w:b/>
          <w:bCs/>
          <w:color w:val="auto"/>
          <w:szCs w:val="21"/>
          <w:highlight w:val="none"/>
        </w:rPr>
        <w:t>18.   投标文件的装订、密封和标记</w:t>
      </w:r>
      <w:bookmarkEnd w:id="127"/>
      <w:bookmarkEnd w:id="128"/>
    </w:p>
    <w:p w14:paraId="19D6601B">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18.1  投标文件的装订要求</w:t>
      </w:r>
    </w:p>
    <w:p w14:paraId="4A140D8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18.1.1投标文件应当密封装订，按采购文件规定的顺序装订在一起。</w:t>
      </w:r>
    </w:p>
    <w:p w14:paraId="77B64D00">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18.2  投标文件的密封</w:t>
      </w:r>
    </w:p>
    <w:p w14:paraId="53511A77">
      <w:pPr>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18.2.1</w:t>
      </w:r>
      <w:r>
        <w:rPr>
          <w:rFonts w:hint="eastAsia" w:ascii="宋体" w:hAnsi="宋体" w:cs="宋体"/>
          <w:b/>
          <w:bCs/>
          <w:color w:val="auto"/>
          <w:szCs w:val="21"/>
          <w:highlight w:val="none"/>
        </w:rPr>
        <w:t>资格证明文件正副本密封在资格证明文件袋内，技术标正副本密封在技术标文件袋内，商务标正副本密封在商务标文件袋内。</w:t>
      </w:r>
    </w:p>
    <w:p w14:paraId="7C0119C7">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18.3  投标文件密封袋的标记</w:t>
      </w:r>
    </w:p>
    <w:p w14:paraId="005C990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18.3.1在投标文件密封袋上应写明投标供应商名称和地址、邮政编码；注明下列识别标志：项目名称。</w:t>
      </w:r>
    </w:p>
    <w:p w14:paraId="03A2D00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18.3.2所有投标文件的密封袋应加盖投标供应商印章；否则，该投标文件将被拒绝。</w:t>
      </w:r>
    </w:p>
    <w:p w14:paraId="7530C52C">
      <w:pPr>
        <w:spacing w:line="440" w:lineRule="exact"/>
        <w:ind w:firstLine="422" w:firstLineChars="200"/>
        <w:jc w:val="left"/>
        <w:outlineLvl w:val="2"/>
        <w:rPr>
          <w:rFonts w:hint="eastAsia" w:ascii="宋体" w:hAnsi="宋体" w:cs="宋体"/>
          <w:b/>
          <w:bCs/>
          <w:color w:val="auto"/>
          <w:szCs w:val="21"/>
          <w:highlight w:val="none"/>
        </w:rPr>
      </w:pPr>
      <w:bookmarkStart w:id="129" w:name="_Toc12471"/>
      <w:bookmarkStart w:id="130" w:name="_Toc10261"/>
      <w:r>
        <w:rPr>
          <w:rFonts w:hint="eastAsia" w:ascii="宋体" w:hAnsi="宋体" w:cs="宋体"/>
          <w:b/>
          <w:bCs/>
          <w:color w:val="auto"/>
          <w:szCs w:val="21"/>
          <w:highlight w:val="none"/>
        </w:rPr>
        <w:t>19.   投标文件的提交</w:t>
      </w:r>
      <w:bookmarkEnd w:id="129"/>
      <w:bookmarkEnd w:id="130"/>
    </w:p>
    <w:p w14:paraId="2EC645CE">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19.1  投标文件提交的收件人、截止时间及地点</w:t>
      </w:r>
    </w:p>
    <w:p w14:paraId="14BD3ED0">
      <w:pPr>
        <w:spacing w:line="440" w:lineRule="exact"/>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收件人：</w:t>
      </w:r>
      <w:r>
        <w:rPr>
          <w:rFonts w:hint="eastAsia" w:ascii="宋体" w:hAnsi="宋体" w:cs="宋体"/>
          <w:b w:val="0"/>
          <w:bCs w:val="0"/>
          <w:color w:val="auto"/>
          <w:kern w:val="0"/>
          <w:szCs w:val="21"/>
          <w:highlight w:val="none"/>
          <w:u w:val="single"/>
        </w:rPr>
        <w:t>安徽立地工程咨询有限公司</w:t>
      </w:r>
    </w:p>
    <w:p w14:paraId="5BA4F287">
      <w:pPr>
        <w:spacing w:line="440" w:lineRule="exact"/>
        <w:ind w:firstLine="420" w:firstLineChars="200"/>
        <w:rPr>
          <w:rFonts w:hint="eastAsia" w:ascii="宋体" w:hAnsi="宋体" w:cs="宋体"/>
          <w:b w:val="0"/>
          <w:bCs w:val="0"/>
          <w:color w:val="auto"/>
          <w:kern w:val="0"/>
          <w:szCs w:val="21"/>
          <w:highlight w:val="none"/>
          <w:u w:val="single"/>
        </w:rPr>
      </w:pPr>
      <w:r>
        <w:rPr>
          <w:rFonts w:hint="eastAsia" w:ascii="宋体" w:hAnsi="宋体" w:cs="宋体"/>
          <w:b w:val="0"/>
          <w:bCs w:val="0"/>
          <w:color w:val="auto"/>
          <w:kern w:val="0"/>
          <w:szCs w:val="21"/>
          <w:highlight w:val="none"/>
        </w:rPr>
        <w:t>时  间：</w:t>
      </w:r>
      <w:r>
        <w:rPr>
          <w:rFonts w:hint="eastAsia" w:ascii="宋体" w:hAnsi="宋体" w:cs="宋体"/>
          <w:b/>
          <w:bCs/>
          <w:color w:val="auto"/>
          <w:kern w:val="0"/>
          <w:szCs w:val="21"/>
          <w:highlight w:val="none"/>
          <w:u w:val="single"/>
        </w:rPr>
        <w:t>2024年</w:t>
      </w:r>
      <w:r>
        <w:rPr>
          <w:rFonts w:hint="eastAsia" w:ascii="宋体" w:hAnsi="宋体" w:cs="宋体"/>
          <w:b/>
          <w:bCs/>
          <w:color w:val="auto"/>
          <w:kern w:val="0"/>
          <w:szCs w:val="21"/>
          <w:highlight w:val="none"/>
          <w:u w:val="single"/>
          <w:lang w:val="en-US" w:eastAsia="zh-CN"/>
        </w:rPr>
        <w:t>09</w:t>
      </w:r>
      <w:r>
        <w:rPr>
          <w:rFonts w:hint="eastAsia" w:ascii="宋体" w:hAnsi="宋体" w:cs="宋体"/>
          <w:b/>
          <w:bCs/>
          <w:color w:val="auto"/>
          <w:kern w:val="0"/>
          <w:szCs w:val="21"/>
          <w:highlight w:val="none"/>
          <w:u w:val="single"/>
        </w:rPr>
        <w:t>月</w:t>
      </w:r>
      <w:r>
        <w:rPr>
          <w:rFonts w:hint="eastAsia" w:ascii="宋体" w:hAnsi="宋体" w:cs="宋体"/>
          <w:b/>
          <w:bCs/>
          <w:color w:val="auto"/>
          <w:kern w:val="0"/>
          <w:szCs w:val="21"/>
          <w:highlight w:val="none"/>
          <w:u w:val="single"/>
          <w:lang w:val="en-US" w:eastAsia="zh-CN"/>
        </w:rPr>
        <w:t>02</w:t>
      </w:r>
      <w:r>
        <w:rPr>
          <w:rFonts w:hint="eastAsia" w:ascii="宋体" w:hAnsi="宋体" w:cs="宋体"/>
          <w:b/>
          <w:bCs/>
          <w:color w:val="auto"/>
          <w:kern w:val="0"/>
          <w:szCs w:val="21"/>
          <w:highlight w:val="none"/>
          <w:u w:val="single"/>
        </w:rPr>
        <w:t>日</w:t>
      </w:r>
      <w:r>
        <w:rPr>
          <w:rFonts w:hint="eastAsia" w:ascii="宋体" w:hAnsi="宋体" w:cs="宋体"/>
          <w:b/>
          <w:bCs/>
          <w:color w:val="auto"/>
          <w:kern w:val="0"/>
          <w:szCs w:val="21"/>
          <w:highlight w:val="none"/>
          <w:u w:val="single"/>
          <w:lang w:val="en-US" w:eastAsia="zh-CN"/>
        </w:rPr>
        <w:t>09</w:t>
      </w:r>
      <w:r>
        <w:rPr>
          <w:rFonts w:hint="eastAsia" w:ascii="宋体" w:hAnsi="宋体" w:cs="宋体"/>
          <w:b/>
          <w:bCs/>
          <w:color w:val="auto"/>
          <w:kern w:val="0"/>
          <w:szCs w:val="21"/>
          <w:highlight w:val="none"/>
          <w:u w:val="single"/>
        </w:rPr>
        <w:t>时00分</w:t>
      </w:r>
    </w:p>
    <w:p w14:paraId="3BC04502">
      <w:pPr>
        <w:spacing w:line="440" w:lineRule="exact"/>
        <w:ind w:firstLine="420" w:firstLineChars="200"/>
        <w:rPr>
          <w:rFonts w:ascii="宋体" w:hAnsi="宋体" w:cs="宋体"/>
          <w:b w:val="0"/>
          <w:bCs w:val="0"/>
          <w:color w:val="auto"/>
          <w:kern w:val="0"/>
          <w:szCs w:val="21"/>
          <w:highlight w:val="none"/>
          <w:u w:val="single"/>
        </w:rPr>
      </w:pPr>
      <w:r>
        <w:rPr>
          <w:rFonts w:hint="eastAsia" w:ascii="宋体" w:hAnsi="宋体" w:cs="宋体"/>
          <w:b w:val="0"/>
          <w:bCs w:val="0"/>
          <w:color w:val="auto"/>
          <w:kern w:val="0"/>
          <w:szCs w:val="21"/>
          <w:highlight w:val="none"/>
        </w:rPr>
        <w:t>地  点：</w:t>
      </w:r>
      <w:r>
        <w:rPr>
          <w:rFonts w:hint="eastAsia" w:ascii="宋体" w:hAnsi="宋体" w:cs="宋体"/>
          <w:b w:val="0"/>
          <w:bCs w:val="0"/>
          <w:color w:val="auto"/>
          <w:szCs w:val="21"/>
          <w:highlight w:val="none"/>
        </w:rPr>
        <w:t>滁州市丰乐大道1899号皖东国际车城A区写字楼A6栋3楼</w:t>
      </w:r>
    </w:p>
    <w:p w14:paraId="365681F9">
      <w:pPr>
        <w:spacing w:before="156" w:beforeLines="50" w:after="156" w:afterLines="50" w:line="440" w:lineRule="exact"/>
        <w:jc w:val="center"/>
        <w:outlineLvl w:val="1"/>
        <w:rPr>
          <w:rFonts w:hint="eastAsia" w:ascii="宋体" w:hAnsi="宋体" w:cs="宋体"/>
          <w:b/>
          <w:bCs/>
          <w:color w:val="auto"/>
          <w:sz w:val="28"/>
          <w:szCs w:val="28"/>
          <w:highlight w:val="none"/>
        </w:rPr>
      </w:pPr>
      <w:bookmarkStart w:id="131" w:name="_Toc22545"/>
      <w:bookmarkStart w:id="132" w:name="_Toc31586"/>
      <w:r>
        <w:rPr>
          <w:rFonts w:hint="eastAsia" w:ascii="宋体" w:hAnsi="宋体" w:cs="宋体"/>
          <w:b/>
          <w:bCs/>
          <w:color w:val="auto"/>
          <w:sz w:val="28"/>
          <w:szCs w:val="28"/>
          <w:highlight w:val="none"/>
        </w:rPr>
        <w:t>五、开标、评标和定标</w:t>
      </w:r>
      <w:bookmarkEnd w:id="131"/>
      <w:bookmarkEnd w:id="132"/>
    </w:p>
    <w:p w14:paraId="48190492">
      <w:pPr>
        <w:spacing w:line="440" w:lineRule="exact"/>
        <w:ind w:firstLine="422" w:firstLineChars="200"/>
        <w:jc w:val="left"/>
        <w:outlineLvl w:val="2"/>
        <w:rPr>
          <w:rFonts w:hint="eastAsia" w:ascii="宋体" w:hAnsi="宋体" w:cs="宋体"/>
          <w:b/>
          <w:bCs/>
          <w:color w:val="auto"/>
          <w:szCs w:val="21"/>
          <w:highlight w:val="none"/>
        </w:rPr>
      </w:pPr>
      <w:bookmarkStart w:id="133" w:name="_Toc3539"/>
      <w:bookmarkStart w:id="134" w:name="_Toc10194"/>
      <w:r>
        <w:rPr>
          <w:rFonts w:hint="eastAsia" w:ascii="宋体" w:hAnsi="宋体" w:cs="宋体"/>
          <w:b/>
          <w:bCs/>
          <w:color w:val="auto"/>
          <w:szCs w:val="21"/>
          <w:highlight w:val="none"/>
        </w:rPr>
        <w:t>20.   开标</w:t>
      </w:r>
      <w:bookmarkEnd w:id="133"/>
      <w:bookmarkEnd w:id="134"/>
    </w:p>
    <w:p w14:paraId="59A68ADA">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20.1  开标的时间和地点</w:t>
      </w:r>
    </w:p>
    <w:p w14:paraId="0822068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20.1.1采购人按本须知第19.1条提交投标文件的截止时间和地点开标，并邀请所有投标供应商参加。</w:t>
      </w:r>
    </w:p>
    <w:p w14:paraId="5F4B6B54">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20.2  参与开标的监督部门</w:t>
      </w:r>
    </w:p>
    <w:p w14:paraId="71BDAD82">
      <w:pPr>
        <w:spacing w:line="44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20.2.1参与开标的部门包括：采购单位、代理机构等。</w:t>
      </w:r>
    </w:p>
    <w:p w14:paraId="4E1D5819">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20.3  对参加开标的投标供应商的要求</w:t>
      </w:r>
    </w:p>
    <w:p w14:paraId="0F004483">
      <w:pPr>
        <w:spacing w:line="44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20.3.1开标程序</w:t>
      </w:r>
    </w:p>
    <w:p w14:paraId="1894F67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开标会议由安徽立地工程咨询有限公司（代理机构）主持。</w:t>
      </w:r>
    </w:p>
    <w:p w14:paraId="12789F8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09C27F8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（2）宣布招标（采购）人、代理机构主持人等有关人员姓名；</w:t>
      </w:r>
    </w:p>
    <w:p w14:paraId="4BCC137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（3）公布投标截止时间前，通过在</w:t>
      </w:r>
      <w:r>
        <w:rPr>
          <w:rFonts w:hint="eastAsia" w:ascii="宋体" w:hAnsi="宋体" w:cs="宋体"/>
          <w:bCs/>
          <w:color w:val="auto"/>
          <w:szCs w:val="21"/>
          <w:highlight w:val="none"/>
        </w:rPr>
        <w:t>滁州学院网站（http://zcc.chzu.edu.cn）资产与实验室管理处网页采购公告栏下载文件并按时递交投标文件的</w:t>
      </w:r>
      <w:r>
        <w:rPr>
          <w:rFonts w:hint="eastAsia" w:ascii="宋体" w:hAnsi="宋体" w:cs="宋体"/>
          <w:color w:val="auto"/>
          <w:szCs w:val="21"/>
          <w:highlight w:val="none"/>
        </w:rPr>
        <w:t xml:space="preserve">投标供应商名称及投标保证金缴纳情况等； </w:t>
      </w:r>
    </w:p>
    <w:p w14:paraId="7396FA7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（4）公布投标供应商投标报价、质量目标、供货期及其他内容，并记录在案；</w:t>
      </w:r>
    </w:p>
    <w:p w14:paraId="70F83FA6">
      <w:pPr>
        <w:spacing w:line="440" w:lineRule="exact"/>
        <w:ind w:firstLine="420" w:firstLineChars="200"/>
        <w:jc w:val="left"/>
        <w:outlineLvl w:val="0"/>
        <w:rPr>
          <w:rFonts w:hint="eastAsia" w:ascii="宋体" w:hAnsi="宋体" w:cs="宋体"/>
          <w:color w:val="auto"/>
          <w:szCs w:val="21"/>
          <w:highlight w:val="none"/>
        </w:rPr>
      </w:pPr>
      <w:bookmarkStart w:id="135" w:name="_Toc31947"/>
      <w:bookmarkStart w:id="136" w:name="_Toc618"/>
      <w:r>
        <w:rPr>
          <w:rFonts w:hint="eastAsia" w:ascii="宋体" w:hAnsi="宋体" w:cs="宋体"/>
          <w:color w:val="auto"/>
          <w:szCs w:val="21"/>
          <w:highlight w:val="none"/>
        </w:rPr>
        <w:t>（5）开标结束。</w:t>
      </w:r>
      <w:bookmarkEnd w:id="135"/>
      <w:bookmarkEnd w:id="136"/>
    </w:p>
    <w:p w14:paraId="01F91815">
      <w:pPr>
        <w:spacing w:line="440" w:lineRule="exact"/>
        <w:ind w:firstLine="420" w:firstLineChars="200"/>
        <w:jc w:val="left"/>
        <w:outlineLvl w:val="1"/>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37" w:name="_Toc6681"/>
      <w:bookmarkStart w:id="138" w:name="_Toc1054"/>
      <w:r>
        <w:rPr>
          <w:rFonts w:hint="eastAsia" w:ascii="宋体" w:hAnsi="宋体" w:cs="宋体"/>
          <w:color w:val="auto"/>
          <w:szCs w:val="21"/>
          <w:highlight w:val="none"/>
        </w:rPr>
        <w:t>20.3.2开标异议</w:t>
      </w:r>
      <w:bookmarkEnd w:id="137"/>
      <w:bookmarkEnd w:id="138"/>
    </w:p>
    <w:p w14:paraId="51B32AD7">
      <w:pPr>
        <w:pStyle w:val="26"/>
        <w:spacing w:line="440" w:lineRule="exact"/>
        <w:ind w:firstLine="420"/>
        <w:rPr>
          <w:rFonts w:hint="eastAsia" w:hAnsi="宋体" w:cs="宋体"/>
          <w:color w:val="auto"/>
          <w:sz w:val="21"/>
          <w:szCs w:val="21"/>
          <w:highlight w:val="none"/>
        </w:rPr>
      </w:pPr>
      <w:r>
        <w:rPr>
          <w:rFonts w:hint="eastAsia" w:hAnsi="宋体" w:cs="宋体"/>
          <w:color w:val="auto"/>
          <w:sz w:val="21"/>
          <w:szCs w:val="21"/>
          <w:highlight w:val="none"/>
        </w:rPr>
        <w:t>投标供应商对开标有异议的，应当在开标现场提出，采购人当场作出答复，并制作记录。</w:t>
      </w:r>
    </w:p>
    <w:p w14:paraId="60B9D6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20.3.3投标供应商的法定代表人（或委托代理人）应当参加开标会议，投标供应商在开标时必须</w:t>
      </w:r>
      <w:r>
        <w:rPr>
          <w:rFonts w:hint="eastAsia" w:ascii="宋体" w:hAnsi="宋体" w:cs="宋体"/>
          <w:bCs/>
          <w:color w:val="auto"/>
          <w:szCs w:val="21"/>
          <w:highlight w:val="none"/>
        </w:rPr>
        <w:t>携带（手持或封入文件袋中均视为携带）</w:t>
      </w:r>
      <w:r>
        <w:rPr>
          <w:rFonts w:hint="eastAsia" w:ascii="宋体" w:hAnsi="宋体" w:cs="宋体"/>
          <w:color w:val="auto"/>
          <w:szCs w:val="21"/>
          <w:highlight w:val="none"/>
        </w:rPr>
        <w:t>下列证件的</w:t>
      </w:r>
      <w:r>
        <w:rPr>
          <w:rFonts w:hint="eastAsia" w:ascii="宋体" w:hAnsi="宋体" w:cs="宋体"/>
          <w:b/>
          <w:color w:val="auto"/>
          <w:szCs w:val="21"/>
          <w:highlight w:val="none"/>
        </w:rPr>
        <w:t>原件（或复印件加盖投标供应商公章）</w:t>
      </w:r>
      <w:r>
        <w:rPr>
          <w:rFonts w:hint="eastAsia" w:ascii="宋体" w:hAnsi="宋体" w:cs="宋体"/>
          <w:color w:val="auto"/>
          <w:szCs w:val="21"/>
          <w:highlight w:val="none"/>
        </w:rPr>
        <w:t>，以供资格审查</w:t>
      </w:r>
      <w:r>
        <w:rPr>
          <w:rFonts w:hint="eastAsia" w:ascii="宋体" w:hAnsi="宋体" w:cs="宋体"/>
          <w:b/>
          <w:color w:val="auto"/>
          <w:szCs w:val="21"/>
          <w:highlight w:val="none"/>
        </w:rPr>
        <w:t>，</w:t>
      </w:r>
      <w:r>
        <w:rPr>
          <w:rFonts w:hint="eastAsia" w:ascii="宋体" w:hAnsi="宋体" w:cs="宋体"/>
          <w:color w:val="auto"/>
          <w:szCs w:val="21"/>
          <w:highlight w:val="none"/>
        </w:rPr>
        <w:t>否则，该投标供应商的投标文件将被拒绝。</w:t>
      </w:r>
    </w:p>
    <w:p w14:paraId="1FF3F5C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472EC01">
      <w:pPr>
        <w:spacing w:line="440" w:lineRule="exact"/>
        <w:ind w:firstLine="420" w:firstLineChars="200"/>
        <w:jc w:val="left"/>
        <w:outlineLvl w:val="0"/>
        <w:rPr>
          <w:rFonts w:hint="eastAsia" w:ascii="宋体" w:hAnsi="宋体" w:cs="宋体"/>
          <w:color w:val="auto"/>
          <w:szCs w:val="21"/>
          <w:highlight w:val="none"/>
        </w:rPr>
      </w:pPr>
      <w:bookmarkStart w:id="139" w:name="_Toc18197"/>
      <w:bookmarkStart w:id="140" w:name="_Toc8869"/>
      <w:r>
        <w:rPr>
          <w:rFonts w:hint="eastAsia" w:ascii="宋体" w:hAnsi="宋体" w:cs="宋体"/>
          <w:color w:val="auto"/>
          <w:szCs w:val="21"/>
          <w:highlight w:val="none"/>
        </w:rPr>
        <w:t>（2）企业营业执照。</w:t>
      </w:r>
      <w:bookmarkEnd w:id="139"/>
      <w:bookmarkEnd w:id="140"/>
    </w:p>
    <w:p w14:paraId="66870A8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只有通过资格审查的投标供应商才能进入下一步的开标程序。</w:t>
      </w:r>
    </w:p>
    <w:p w14:paraId="5233489C">
      <w:pPr>
        <w:spacing w:line="440" w:lineRule="exact"/>
        <w:ind w:firstLine="420" w:firstLineChars="200"/>
        <w:jc w:val="left"/>
        <w:outlineLvl w:val="1"/>
        <w:rPr>
          <w:rFonts w:hint="eastAsia" w:ascii="宋体" w:hAnsi="宋体" w:cs="宋体"/>
          <w:color w:val="auto"/>
          <w:szCs w:val="21"/>
          <w:highlight w:val="none"/>
        </w:rPr>
      </w:pPr>
      <w:bookmarkStart w:id="141" w:name="_Toc22014"/>
      <w:bookmarkStart w:id="142" w:name="_Toc25783"/>
      <w:r>
        <w:rPr>
          <w:rFonts w:hint="eastAsia" w:ascii="宋体" w:hAnsi="宋体" w:cs="宋体"/>
          <w:color w:val="auto"/>
          <w:szCs w:val="21"/>
          <w:highlight w:val="none"/>
        </w:rPr>
        <w:t>20.4  开标程序</w:t>
      </w:r>
      <w:bookmarkEnd w:id="141"/>
      <w:bookmarkEnd w:id="142"/>
    </w:p>
    <w:p w14:paraId="0BECC6AE">
      <w:pPr>
        <w:spacing w:line="440" w:lineRule="exact"/>
        <w:ind w:firstLine="420" w:firstLineChars="200"/>
        <w:jc w:val="left"/>
        <w:outlineLvl w:val="2"/>
        <w:rPr>
          <w:rFonts w:hint="eastAsia" w:ascii="宋体" w:hAnsi="宋体" w:cs="宋体"/>
          <w:color w:val="auto"/>
          <w:szCs w:val="21"/>
          <w:highlight w:val="none"/>
        </w:rPr>
      </w:pPr>
      <w:bookmarkStart w:id="143" w:name="_Toc18902"/>
      <w:bookmarkStart w:id="144" w:name="_Toc23550"/>
      <w:r>
        <w:rPr>
          <w:rFonts w:hint="eastAsia" w:ascii="宋体" w:hAnsi="宋体" w:cs="宋体"/>
          <w:color w:val="auto"/>
          <w:szCs w:val="21"/>
          <w:highlight w:val="none"/>
        </w:rPr>
        <w:t>①开标会议由招标代理机构：</w:t>
      </w:r>
      <w:r>
        <w:rPr>
          <w:rFonts w:hint="eastAsia" w:ascii="宋体" w:hAnsi="宋体" w:cs="宋体"/>
          <w:color w:val="auto"/>
          <w:szCs w:val="21"/>
          <w:highlight w:val="none"/>
          <w:u w:val="single"/>
        </w:rPr>
        <w:t xml:space="preserve">安徽立地工程咨询有限公司 </w:t>
      </w:r>
      <w:r>
        <w:rPr>
          <w:rFonts w:hint="eastAsia" w:ascii="宋体" w:hAnsi="宋体" w:cs="宋体"/>
          <w:color w:val="auto"/>
          <w:szCs w:val="21"/>
          <w:highlight w:val="none"/>
        </w:rPr>
        <w:t>主持；</w:t>
      </w:r>
      <w:bookmarkEnd w:id="143"/>
      <w:bookmarkEnd w:id="144"/>
    </w:p>
    <w:p w14:paraId="27BBA33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②采购人对各投标供应商的法定代表人（或委托代理人）第20.3.3条要求对各投标供应商进行验证确认；</w:t>
      </w:r>
    </w:p>
    <w:p w14:paraId="4AED1DD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③由投标供应商或其推选的代表检查投标文件的密封情况，也可以由采购人委托的公证机构检查并公证；</w:t>
      </w:r>
    </w:p>
    <w:p w14:paraId="59782140">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④经确认无误后，由有关工作人员当众拆封，宣读投标供应商名称、投标报价和投标文件的其他主要内容并报送评标委员会评审。</w:t>
      </w:r>
    </w:p>
    <w:p w14:paraId="5AD5826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⑤对投标供应商的投标书进行计算错误复核；</w:t>
      </w:r>
    </w:p>
    <w:p w14:paraId="241ED66B">
      <w:pPr>
        <w:pStyle w:val="17"/>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⑥由采购人宣布中标候选人；</w:t>
      </w:r>
    </w:p>
    <w:p w14:paraId="1E1D424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⑦ </w:t>
      </w:r>
      <w:r>
        <w:rPr>
          <w:rFonts w:hint="eastAsia" w:ascii="宋体" w:hAnsi="宋体" w:cs="宋体"/>
          <w:color w:val="auto"/>
          <w:szCs w:val="21"/>
          <w:highlight w:val="none"/>
          <w:u w:val="single"/>
        </w:rPr>
        <w:t xml:space="preserve">代理机构 </w:t>
      </w:r>
      <w:r>
        <w:rPr>
          <w:rFonts w:hint="eastAsia" w:ascii="宋体" w:hAnsi="宋体" w:cs="宋体"/>
          <w:color w:val="auto"/>
          <w:szCs w:val="21"/>
          <w:highlight w:val="none"/>
        </w:rPr>
        <w:t>对开标过程进行记录，并存档备查。</w:t>
      </w:r>
    </w:p>
    <w:p w14:paraId="5CCD3B1D">
      <w:pPr>
        <w:spacing w:line="440" w:lineRule="exact"/>
        <w:ind w:firstLine="420" w:firstLineChars="200"/>
        <w:jc w:val="left"/>
        <w:outlineLvl w:val="1"/>
        <w:rPr>
          <w:rFonts w:hint="eastAsia" w:ascii="宋体" w:hAnsi="宋体" w:cs="宋体"/>
          <w:color w:val="auto"/>
          <w:szCs w:val="21"/>
          <w:highlight w:val="none"/>
        </w:rPr>
      </w:pPr>
      <w:bookmarkStart w:id="145" w:name="_Toc3030"/>
      <w:bookmarkStart w:id="146" w:name="_Toc21654"/>
      <w:r>
        <w:rPr>
          <w:rFonts w:hint="eastAsia" w:ascii="宋体" w:hAnsi="宋体" w:cs="宋体"/>
          <w:color w:val="auto"/>
          <w:szCs w:val="21"/>
          <w:highlight w:val="none"/>
        </w:rPr>
        <w:t>20.5评标</w:t>
      </w:r>
      <w:bookmarkEnd w:id="145"/>
      <w:bookmarkEnd w:id="146"/>
    </w:p>
    <w:p w14:paraId="0A936C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 评标准备工作</w:t>
      </w:r>
    </w:p>
    <w:p w14:paraId="040363E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②阅读由采购人或代理机构编写的招标项目情况的说明材料；</w:t>
      </w:r>
    </w:p>
    <w:p w14:paraId="3D9FE5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③阅读、研究采购文件和相关评标资料，获取评标所需要的重要信息和数据；</w:t>
      </w:r>
    </w:p>
    <w:p w14:paraId="7835433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④</w:t>
      </w:r>
      <w:r>
        <w:rPr>
          <w:rFonts w:hint="eastAsia" w:ascii="宋体" w:hAnsi="宋体" w:cs="宋体"/>
          <w:color w:val="auto"/>
          <w:szCs w:val="21"/>
          <w:highlight w:val="none"/>
        </w:rPr>
        <w:t>熟悉采购文件规定的评标方法及在评标过程中需要考虑的相关因素；</w:t>
      </w:r>
    </w:p>
    <w:p w14:paraId="07039CF0">
      <w:pPr>
        <w:spacing w:line="440" w:lineRule="exact"/>
        <w:ind w:firstLine="420" w:firstLineChars="200"/>
        <w:jc w:val="left"/>
        <w:outlineLvl w:val="2"/>
        <w:rPr>
          <w:rFonts w:hint="eastAsia" w:ascii="宋体" w:hAnsi="宋体" w:cs="宋体"/>
          <w:color w:val="auto"/>
          <w:szCs w:val="21"/>
          <w:highlight w:val="none"/>
        </w:rPr>
      </w:pPr>
      <w:bookmarkStart w:id="147" w:name="_Toc26808"/>
      <w:bookmarkStart w:id="148" w:name="_Toc4530"/>
      <w:r>
        <w:rPr>
          <w:rFonts w:hint="eastAsia" w:ascii="宋体" w:hAnsi="宋体" w:cs="宋体"/>
          <w:color w:val="auto"/>
          <w:szCs w:val="21"/>
          <w:highlight w:val="none"/>
        </w:rPr>
        <w:t>⑤核对评标工作用表。</w:t>
      </w:r>
      <w:bookmarkEnd w:id="147"/>
      <w:bookmarkEnd w:id="148"/>
    </w:p>
    <w:p w14:paraId="71CB35F4">
      <w:pPr>
        <w:spacing w:line="440" w:lineRule="exact"/>
        <w:ind w:firstLine="420" w:firstLineChars="200"/>
        <w:jc w:val="left"/>
        <w:outlineLvl w:val="1"/>
        <w:rPr>
          <w:rFonts w:hint="eastAsia" w:ascii="宋体" w:hAnsi="宋体" w:cs="宋体"/>
          <w:color w:val="auto"/>
          <w:szCs w:val="21"/>
          <w:highlight w:val="none"/>
        </w:rPr>
      </w:pPr>
      <w:bookmarkStart w:id="149" w:name="_Toc17538"/>
      <w:bookmarkStart w:id="150" w:name="_Toc20917"/>
      <w:r>
        <w:rPr>
          <w:rFonts w:hint="eastAsia" w:ascii="宋体" w:hAnsi="宋体" w:cs="宋体"/>
          <w:color w:val="auto"/>
          <w:szCs w:val="21"/>
          <w:highlight w:val="none"/>
        </w:rPr>
        <w:t>29.2  评标办法</w:t>
      </w:r>
      <w:bookmarkEnd w:id="149"/>
      <w:bookmarkEnd w:id="150"/>
    </w:p>
    <w:p w14:paraId="4341214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29.2.1评标委员会按照第三章“评标办法”规定的方法、评审因素、标准和程序对投标文件进行评审。第三章“评标办法”没有规定的方法、评审因素和标准，不作为评标依据。</w:t>
      </w:r>
    </w:p>
    <w:p w14:paraId="03C68493">
      <w:pPr>
        <w:spacing w:line="440" w:lineRule="exact"/>
        <w:ind w:firstLine="420" w:firstLineChars="200"/>
        <w:jc w:val="left"/>
        <w:outlineLvl w:val="1"/>
        <w:rPr>
          <w:rFonts w:hint="eastAsia" w:ascii="宋体" w:hAnsi="宋体" w:cs="宋体"/>
          <w:color w:val="auto"/>
          <w:szCs w:val="21"/>
          <w:highlight w:val="none"/>
        </w:rPr>
      </w:pPr>
      <w:bookmarkStart w:id="151" w:name="_Toc29376"/>
      <w:bookmarkStart w:id="152" w:name="_Toc15700"/>
      <w:r>
        <w:rPr>
          <w:rFonts w:hint="eastAsia" w:ascii="宋体" w:hAnsi="宋体" w:cs="宋体"/>
          <w:color w:val="auto"/>
          <w:szCs w:val="21"/>
          <w:highlight w:val="none"/>
        </w:rPr>
        <w:t>20.6评标原则：</w:t>
      </w:r>
      <w:bookmarkEnd w:id="151"/>
      <w:bookmarkEnd w:id="152"/>
    </w:p>
    <w:p w14:paraId="5A77C24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遵循公平、公正、科学和择优的原则。</w:t>
      </w:r>
    </w:p>
    <w:p w14:paraId="5068DD38">
      <w:pPr>
        <w:spacing w:line="440" w:lineRule="exact"/>
        <w:ind w:firstLine="422" w:firstLineChars="200"/>
        <w:jc w:val="left"/>
        <w:outlineLvl w:val="1"/>
        <w:rPr>
          <w:rFonts w:hint="eastAsia" w:ascii="宋体" w:hAnsi="宋体" w:cs="宋体"/>
          <w:b/>
          <w:bCs/>
          <w:color w:val="auto"/>
          <w:szCs w:val="21"/>
          <w:highlight w:val="none"/>
        </w:rPr>
      </w:pPr>
      <w:bookmarkStart w:id="153" w:name="_Toc629"/>
      <w:bookmarkStart w:id="154" w:name="_Toc6243"/>
      <w:r>
        <w:rPr>
          <w:rFonts w:hint="eastAsia" w:ascii="宋体" w:hAnsi="宋体" w:cs="宋体"/>
          <w:b/>
          <w:bCs/>
          <w:color w:val="auto"/>
          <w:szCs w:val="21"/>
          <w:highlight w:val="none"/>
        </w:rPr>
        <w:t>20.7关于提供相同品牌的处理（本项目不采用）</w:t>
      </w:r>
      <w:bookmarkEnd w:id="153"/>
      <w:bookmarkEnd w:id="154"/>
    </w:p>
    <w:p w14:paraId="7C19632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供应商参加同一合同项下投标的，按一家投标供应商计算，评审后得分最高的同品牌投标供应商获得中标人推荐资格；评审得分相同的，由采购人或者采购人委托评标委员会按照采购文件规定的方式确定一个投标供应商获得中标人推荐资格，采购文件未规定的，采取随机抽取方式确定，其他同品牌投标供应商不作为中标候选人。</w:t>
      </w:r>
    </w:p>
    <w:p w14:paraId="5E98F28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非单一产品采购项目，采购人应当根据采购项目技术构成、产品价格比重等合理确定核心产品，并在采购文件中载明。多家投标供应商提供的核心产品品牌相同的，按前款规定处理。</w:t>
      </w:r>
    </w:p>
    <w:p w14:paraId="71500C03">
      <w:pPr>
        <w:spacing w:line="440" w:lineRule="exact"/>
        <w:ind w:firstLine="422" w:firstLineChars="200"/>
        <w:jc w:val="left"/>
        <w:outlineLvl w:val="1"/>
        <w:rPr>
          <w:rFonts w:hint="eastAsia" w:ascii="宋体" w:hAnsi="宋体" w:cs="宋体"/>
          <w:b/>
          <w:bCs/>
          <w:color w:val="auto"/>
          <w:szCs w:val="21"/>
          <w:highlight w:val="none"/>
        </w:rPr>
      </w:pPr>
      <w:bookmarkStart w:id="155" w:name="_Toc30420"/>
      <w:bookmarkStart w:id="156" w:name="_Toc14919"/>
      <w:r>
        <w:rPr>
          <w:rFonts w:hint="eastAsia" w:ascii="宋体" w:hAnsi="宋体" w:cs="宋体"/>
          <w:b/>
          <w:bCs/>
          <w:color w:val="auto"/>
          <w:szCs w:val="21"/>
          <w:highlight w:val="none"/>
        </w:rPr>
        <w:t>21.无效投标文件</w:t>
      </w:r>
      <w:bookmarkEnd w:id="155"/>
      <w:bookmarkEnd w:id="156"/>
    </w:p>
    <w:p w14:paraId="005AFFF5">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21.1  投标文件出现下列情形之一的，投标文件无效，采购人不予受理。</w:t>
      </w:r>
    </w:p>
    <w:p w14:paraId="1E3C511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①逾期送达的或未送达指定地点的；</w:t>
      </w:r>
    </w:p>
    <w:p w14:paraId="4C6FF3D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②未按采购文件要求密封的；</w:t>
      </w:r>
    </w:p>
    <w:p w14:paraId="7B2A1C05">
      <w:pPr>
        <w:spacing w:line="440" w:lineRule="exact"/>
        <w:ind w:firstLine="422" w:firstLineChars="200"/>
        <w:jc w:val="left"/>
        <w:outlineLvl w:val="1"/>
        <w:rPr>
          <w:rFonts w:hint="eastAsia" w:ascii="宋体" w:hAnsi="宋体" w:cs="宋体"/>
          <w:b/>
          <w:bCs/>
          <w:color w:val="auto"/>
          <w:szCs w:val="21"/>
          <w:highlight w:val="none"/>
        </w:rPr>
      </w:pPr>
      <w:bookmarkStart w:id="157" w:name="_Toc24479"/>
      <w:bookmarkStart w:id="158" w:name="_Toc3112"/>
      <w:r>
        <w:rPr>
          <w:rFonts w:hint="eastAsia" w:ascii="宋体" w:hAnsi="宋体" w:cs="宋体"/>
          <w:b/>
          <w:bCs/>
          <w:color w:val="auto"/>
          <w:szCs w:val="21"/>
          <w:highlight w:val="none"/>
        </w:rPr>
        <w:t>22. 定标</w:t>
      </w:r>
      <w:bookmarkEnd w:id="157"/>
      <w:bookmarkEnd w:id="158"/>
    </w:p>
    <w:p w14:paraId="4ECDA698">
      <w:pPr>
        <w:spacing w:line="440" w:lineRule="exact"/>
        <w:ind w:firstLine="420" w:firstLineChars="200"/>
        <w:jc w:val="left"/>
        <w:outlineLvl w:val="2"/>
        <w:rPr>
          <w:rFonts w:hint="eastAsia" w:ascii="宋体" w:hAnsi="宋体" w:cs="宋体"/>
          <w:color w:val="auto"/>
          <w:szCs w:val="21"/>
          <w:highlight w:val="none"/>
        </w:rPr>
      </w:pPr>
      <w:bookmarkStart w:id="159" w:name="_Toc8668"/>
      <w:bookmarkStart w:id="160" w:name="_Toc7714"/>
      <w:r>
        <w:rPr>
          <w:rFonts w:hint="eastAsia" w:ascii="宋体" w:hAnsi="宋体" w:cs="宋体"/>
          <w:color w:val="auto"/>
          <w:szCs w:val="21"/>
          <w:highlight w:val="none"/>
        </w:rPr>
        <w:t>22.1  中标候选人的确定</w:t>
      </w:r>
      <w:bookmarkEnd w:id="159"/>
      <w:bookmarkEnd w:id="160"/>
    </w:p>
    <w:p w14:paraId="749CD9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22.1.1除投标供应商须知前附表规定评标委员会直接确定中标人外，采购人依据评标委员会推荐的中标候选人确定中标人，评标委员会推荐中标候选人的人数见投标供应商须知前附表。</w:t>
      </w:r>
    </w:p>
    <w:p w14:paraId="5AD050C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22.1.2中标人确定后，采购人应将中标人名单在</w:t>
      </w:r>
      <w:r>
        <w:rPr>
          <w:rFonts w:hint="eastAsia" w:ascii="宋体" w:hAnsi="宋体" w:cs="宋体"/>
          <w:bCs/>
          <w:color w:val="auto"/>
          <w:szCs w:val="21"/>
          <w:highlight w:val="none"/>
        </w:rPr>
        <w:t>滁州学院网站（http://zcc.chzu.edu.cn）资产与实验室管理处网页采购公告栏处予以公告</w:t>
      </w:r>
      <w:r>
        <w:rPr>
          <w:rFonts w:hint="eastAsia" w:ascii="宋体" w:hAnsi="宋体" w:cs="宋体"/>
          <w:color w:val="auto"/>
          <w:szCs w:val="21"/>
          <w:highlight w:val="none"/>
        </w:rPr>
        <w:t>。</w:t>
      </w:r>
    </w:p>
    <w:p w14:paraId="1CB5FF84">
      <w:pPr>
        <w:pStyle w:val="15"/>
        <w:spacing w:line="440" w:lineRule="exact"/>
        <w:ind w:firstLine="420" w:firstLineChars="200"/>
        <w:jc w:val="left"/>
        <w:rPr>
          <w:rFonts w:hint="eastAsia" w:hAnsi="宋体" w:cs="宋体"/>
          <w:color w:val="auto"/>
          <w:szCs w:val="21"/>
          <w:highlight w:val="none"/>
        </w:rPr>
      </w:pPr>
      <w:r>
        <w:rPr>
          <w:rFonts w:hint="eastAsia" w:hAnsi="宋体" w:cs="宋体"/>
          <w:color w:val="auto"/>
          <w:szCs w:val="21"/>
          <w:highlight w:val="none"/>
        </w:rPr>
        <w:t>22.1.3在采购文件规定的响应文件递交截止时间后，供应商不足三家或在评审期间，出现符合条件的供应商不足三家的情形时，本项目流标进行二次招标。</w:t>
      </w:r>
    </w:p>
    <w:p w14:paraId="14B082F4">
      <w:pPr>
        <w:spacing w:line="440" w:lineRule="exact"/>
        <w:ind w:firstLine="422" w:firstLineChars="200"/>
        <w:jc w:val="left"/>
        <w:outlineLvl w:val="1"/>
        <w:rPr>
          <w:rFonts w:hint="eastAsia" w:ascii="宋体" w:hAnsi="宋体" w:cs="宋体"/>
          <w:b/>
          <w:bCs/>
          <w:color w:val="auto"/>
          <w:szCs w:val="21"/>
          <w:highlight w:val="none"/>
        </w:rPr>
      </w:pPr>
      <w:bookmarkStart w:id="161" w:name="_Toc1664"/>
      <w:bookmarkStart w:id="162" w:name="_Toc12752"/>
      <w:r>
        <w:rPr>
          <w:rFonts w:hint="eastAsia" w:ascii="宋体" w:hAnsi="宋体" w:cs="宋体"/>
          <w:b/>
          <w:bCs/>
          <w:color w:val="auto"/>
          <w:szCs w:val="21"/>
          <w:highlight w:val="none"/>
        </w:rPr>
        <w:t>23中标价</w:t>
      </w:r>
      <w:bookmarkEnd w:id="161"/>
      <w:bookmarkEnd w:id="162"/>
    </w:p>
    <w:p w14:paraId="442CCBE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kern w:val="0"/>
          <w:szCs w:val="21"/>
          <w:highlight w:val="none"/>
        </w:rPr>
        <w:t>在评标中经过修正的中标单位的投标总报价作为中标价，中标价即为合同价。</w:t>
      </w:r>
    </w:p>
    <w:p w14:paraId="4DB4C4F6">
      <w:pPr>
        <w:spacing w:before="156" w:beforeLines="50" w:after="156" w:afterLines="50" w:line="440" w:lineRule="exact"/>
        <w:jc w:val="center"/>
        <w:outlineLvl w:val="1"/>
        <w:rPr>
          <w:rFonts w:hint="eastAsia" w:ascii="宋体" w:hAnsi="宋体" w:cs="宋体"/>
          <w:color w:val="auto"/>
          <w:szCs w:val="21"/>
          <w:highlight w:val="none"/>
        </w:rPr>
      </w:pPr>
      <w:bookmarkStart w:id="163" w:name="_Toc30200"/>
      <w:bookmarkStart w:id="164" w:name="_Toc11845"/>
      <w:r>
        <w:rPr>
          <w:rFonts w:hint="eastAsia" w:ascii="宋体" w:hAnsi="宋体" w:cs="宋体"/>
          <w:b/>
          <w:bCs/>
          <w:color w:val="auto"/>
          <w:sz w:val="28"/>
          <w:szCs w:val="28"/>
          <w:highlight w:val="none"/>
        </w:rPr>
        <w:t>六、合同的授予</w:t>
      </w:r>
      <w:bookmarkEnd w:id="163"/>
      <w:bookmarkEnd w:id="164"/>
    </w:p>
    <w:p w14:paraId="79899E8D">
      <w:pPr>
        <w:spacing w:line="440" w:lineRule="exact"/>
        <w:ind w:firstLine="422" w:firstLineChars="200"/>
        <w:jc w:val="left"/>
        <w:outlineLvl w:val="2"/>
        <w:rPr>
          <w:rFonts w:hint="eastAsia" w:ascii="宋体" w:hAnsi="宋体" w:cs="宋体"/>
          <w:b/>
          <w:bCs/>
          <w:color w:val="auto"/>
          <w:szCs w:val="21"/>
          <w:highlight w:val="none"/>
        </w:rPr>
      </w:pPr>
      <w:bookmarkStart w:id="165" w:name="_Toc24423"/>
      <w:bookmarkStart w:id="166" w:name="_Toc25482"/>
      <w:r>
        <w:rPr>
          <w:rFonts w:hint="eastAsia" w:ascii="宋体" w:hAnsi="宋体" w:cs="宋体"/>
          <w:b/>
          <w:bCs/>
          <w:color w:val="auto"/>
          <w:szCs w:val="21"/>
          <w:highlight w:val="none"/>
        </w:rPr>
        <w:t>24. 合同授予标准</w:t>
      </w:r>
      <w:bookmarkEnd w:id="165"/>
      <w:bookmarkEnd w:id="166"/>
    </w:p>
    <w:p w14:paraId="0941027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24.1  本招标采购的合同将授予按本须知第22条规定所确定的中标人。</w:t>
      </w:r>
    </w:p>
    <w:p w14:paraId="1F816DC2">
      <w:pPr>
        <w:spacing w:line="440" w:lineRule="exact"/>
        <w:ind w:firstLine="422" w:firstLineChars="200"/>
        <w:jc w:val="left"/>
        <w:outlineLvl w:val="2"/>
        <w:rPr>
          <w:rFonts w:hint="eastAsia" w:ascii="宋体" w:hAnsi="宋体" w:cs="宋体"/>
          <w:b/>
          <w:bCs/>
          <w:color w:val="auto"/>
          <w:szCs w:val="21"/>
          <w:highlight w:val="none"/>
        </w:rPr>
      </w:pPr>
      <w:bookmarkStart w:id="167" w:name="_Toc10609"/>
      <w:bookmarkStart w:id="168" w:name="_Toc1492"/>
      <w:r>
        <w:rPr>
          <w:rFonts w:hint="eastAsia" w:ascii="宋体" w:hAnsi="宋体" w:cs="宋体"/>
          <w:b/>
          <w:bCs/>
          <w:color w:val="auto"/>
          <w:szCs w:val="21"/>
          <w:highlight w:val="none"/>
        </w:rPr>
        <w:t>25. 合同协议书的签订</w:t>
      </w:r>
      <w:bookmarkEnd w:id="167"/>
      <w:bookmarkEnd w:id="168"/>
    </w:p>
    <w:p w14:paraId="124F44F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  采购人与中标人将于项目公示结束并确定中标单位起</w:t>
      </w:r>
      <w:r>
        <w:rPr>
          <w:rFonts w:hint="eastAsia" w:ascii="宋体" w:hAnsi="宋体" w:cs="宋体"/>
          <w:b/>
          <w:bCs/>
          <w:color w:val="auto"/>
          <w:szCs w:val="21"/>
          <w:highlight w:val="none"/>
        </w:rPr>
        <w:t>7个工作</w:t>
      </w:r>
      <w:r>
        <w:rPr>
          <w:rFonts w:hint="eastAsia" w:ascii="宋体" w:hAnsi="宋体" w:cs="宋体"/>
          <w:color w:val="auto"/>
          <w:szCs w:val="21"/>
          <w:highlight w:val="none"/>
        </w:rPr>
        <w:t>日内，按照采购文件和中标人的投标文件订立书面合同。采购人和中标人不得再行订立背离合同实质性内容的其他协议。</w:t>
      </w:r>
    </w:p>
    <w:p w14:paraId="26C5249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25.2  采购人如不按第24条的规定与中标人订立合同，或者采购人、中标人订立背离合同实质性内容的协议，采购人应当按投标保证金的数额对投标供应商进行赔偿，给投标供应商造成的损失超过投标保证金数额的，还应当对超过部分予以赔偿，同时依法承担相应法律责任。</w:t>
      </w:r>
    </w:p>
    <w:p w14:paraId="3250737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25.3  中标人如不按第24条的规定与采购人订立合同，则采购人将废除授标，投标担保金不予退还，给采购人造成的损失超过投标担保数额的，还应当对超过部分予以赔偿，同时依法承担相应法律责任。</w:t>
      </w:r>
    </w:p>
    <w:p w14:paraId="62372BC7">
      <w:pPr>
        <w:spacing w:line="440" w:lineRule="exact"/>
        <w:ind w:firstLine="420" w:firstLineChars="200"/>
        <w:jc w:val="left"/>
        <w:rPr>
          <w:rFonts w:hint="eastAsia" w:ascii="宋体" w:hAnsi="宋体" w:cs="宋体"/>
          <w:b/>
          <w:color w:val="auto"/>
          <w:sz w:val="32"/>
          <w:szCs w:val="32"/>
          <w:highlight w:val="none"/>
        </w:rPr>
      </w:pPr>
      <w:r>
        <w:rPr>
          <w:rFonts w:hint="eastAsia" w:ascii="宋体" w:hAnsi="宋体" w:cs="宋体"/>
          <w:color w:val="auto"/>
          <w:szCs w:val="21"/>
          <w:highlight w:val="none"/>
        </w:rPr>
        <w:t>25.4  中标人应当按照合同约定履行义务，完成中标项目，不得将中标项目转让（转包）给他人。</w:t>
      </w:r>
    </w:p>
    <w:p w14:paraId="01149EE1">
      <w:pPr>
        <w:spacing w:line="440" w:lineRule="exact"/>
        <w:ind w:firstLine="413" w:firstLineChars="196"/>
        <w:outlineLvl w:val="2"/>
        <w:rPr>
          <w:rFonts w:hint="eastAsia" w:ascii="宋体" w:hAnsi="宋体" w:cs="宋体"/>
          <w:b/>
          <w:color w:val="auto"/>
          <w:szCs w:val="21"/>
          <w:highlight w:val="none"/>
        </w:rPr>
      </w:pPr>
      <w:bookmarkStart w:id="169" w:name="_Toc48"/>
      <w:r>
        <w:rPr>
          <w:rFonts w:hint="eastAsia" w:ascii="宋体" w:hAnsi="宋体" w:cs="宋体"/>
          <w:b/>
          <w:color w:val="auto"/>
          <w:szCs w:val="21"/>
          <w:highlight w:val="none"/>
        </w:rPr>
        <w:t>26.质疑</w:t>
      </w:r>
      <w:bookmarkEnd w:id="169"/>
    </w:p>
    <w:p w14:paraId="066B54CA">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26.1质疑人认为预中标结果使自己的权益受到损害的，可以向采购代理机构提出质疑。质疑实行实名制，应当有具体的事项及根据，不得进行虚假、恶意质疑，扰乱采购的正常工作秩序。</w:t>
      </w:r>
    </w:p>
    <w:p w14:paraId="6F44B099">
      <w:pPr>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投标供应商对采购文件内容有疑问的，须在采购文件规定的质疑截止时间前，向采购人提出询问或者质疑，未在规定质疑截止时间内提出异议的，该质疑不予受理，并视同投标供应商认可采购文件所有内容。</w:t>
      </w:r>
    </w:p>
    <w:p w14:paraId="42A61D52">
      <w:pPr>
        <w:spacing w:line="440" w:lineRule="exact"/>
        <w:ind w:firstLine="420" w:firstLineChars="200"/>
        <w:outlineLvl w:val="3"/>
        <w:rPr>
          <w:rFonts w:hint="eastAsia" w:ascii="宋体" w:hAnsi="宋体" w:cs="宋体"/>
          <w:bCs/>
          <w:color w:val="auto"/>
          <w:szCs w:val="21"/>
          <w:highlight w:val="none"/>
        </w:rPr>
      </w:pPr>
      <w:r>
        <w:rPr>
          <w:rFonts w:hint="eastAsia" w:ascii="宋体" w:hAnsi="宋体" w:cs="宋体"/>
          <w:bCs/>
          <w:color w:val="auto"/>
          <w:szCs w:val="21"/>
          <w:highlight w:val="none"/>
        </w:rPr>
        <w:t xml:space="preserve">26.2质疑应在规定时限内提出： </w:t>
      </w:r>
    </w:p>
    <w:p w14:paraId="03520481">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对采购中标结果的质疑，应在中标结果公布之日起七个工作日内提出。</w:t>
      </w:r>
    </w:p>
    <w:p w14:paraId="5A2EFCF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26.3质疑应以书面形式实名提出，书面质疑材料应当包括以下内容：</w:t>
      </w:r>
    </w:p>
    <w:p w14:paraId="3E5388A3">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26.3.1质疑人的名称、地址、有效联系方式；</w:t>
      </w:r>
    </w:p>
    <w:p w14:paraId="38E2B24C">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26.3.2项目名称、项目编号、包别号（如有）；</w:t>
      </w:r>
    </w:p>
    <w:p w14:paraId="082E0D05">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26.3.3被质疑人名称；</w:t>
      </w:r>
    </w:p>
    <w:p w14:paraId="31287B6C">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26.3.4具体的质疑事项、基本事实及必要的证明材料；</w:t>
      </w:r>
    </w:p>
    <w:p w14:paraId="4B997F17">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26.3.5明确的请求及主张；</w:t>
      </w:r>
    </w:p>
    <w:p w14:paraId="7860FF9E">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26.3.6提起质疑的日期。</w:t>
      </w:r>
    </w:p>
    <w:p w14:paraId="157CDB68">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质疑人为法人或者其他组织的，应当由</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或其委托代理人（需有委托授权书）签字并加盖公章。</w:t>
      </w:r>
    </w:p>
    <w:p w14:paraId="4405E9F7">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质疑人需要修改、补充质疑材料的，应当在质疑期内提交修改或补充材料。</w:t>
      </w:r>
    </w:p>
    <w:p w14:paraId="0E7690FD">
      <w:pPr>
        <w:spacing w:line="440" w:lineRule="exact"/>
        <w:ind w:firstLine="420" w:firstLineChars="200"/>
        <w:outlineLvl w:val="3"/>
        <w:rPr>
          <w:rFonts w:hint="eastAsia" w:ascii="宋体" w:hAnsi="宋体" w:cs="宋体"/>
          <w:bCs/>
          <w:color w:val="auto"/>
          <w:szCs w:val="21"/>
          <w:highlight w:val="none"/>
        </w:rPr>
      </w:pPr>
      <w:r>
        <w:rPr>
          <w:rFonts w:hint="eastAsia" w:ascii="宋体" w:hAnsi="宋体" w:cs="宋体"/>
          <w:bCs/>
          <w:color w:val="auto"/>
          <w:szCs w:val="21"/>
          <w:highlight w:val="none"/>
        </w:rPr>
        <w:t>26.4有下列情形之一的，不予受理：</w:t>
      </w:r>
    </w:p>
    <w:p w14:paraId="1C912629">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.4.1提起质疑的主体不是参与该采购项目活动的供应商；</w:t>
      </w:r>
    </w:p>
    <w:p w14:paraId="3760D5D7">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.4.2提起质疑的时间超过规定时限的；</w:t>
      </w:r>
    </w:p>
    <w:p w14:paraId="7DDFFF6D">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.4.3质疑材料不完整的；</w:t>
      </w:r>
    </w:p>
    <w:p w14:paraId="7D65DE22">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.4.4质疑事项含有主观猜测等内容且未提供有效线索、难以查证的；</w:t>
      </w:r>
    </w:p>
    <w:p w14:paraId="402A0155">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.4.5对其他供应商的响应文件详细内容质疑，证据来源无法提供合法来源渠道的；</w:t>
      </w:r>
    </w:p>
    <w:p w14:paraId="571B3BCE">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26</w:t>
      </w:r>
      <w:r>
        <w:rPr>
          <w:rFonts w:hint="eastAsia" w:ascii="宋体" w:hAnsi="宋体" w:cs="宋体"/>
          <w:color w:val="auto"/>
          <w:kern w:val="0"/>
          <w:szCs w:val="21"/>
          <w:highlight w:val="none"/>
        </w:rPr>
        <w:t>.4.6质疑事项已进入投诉处理、行政复议或行政诉讼程序的。</w:t>
      </w:r>
    </w:p>
    <w:p w14:paraId="030BC93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26.5经审查符合质疑条件的，自收到质疑之日起即为受理。采购代理机构将在质疑受理后7个工作日内作出答复或相关处理决定（需要检验、检测、鉴定、专家评审的，所需时间不计算在内），并以书面形式通知质疑人，答复的内容不得涉及商业秘密。</w:t>
      </w:r>
    </w:p>
    <w:p w14:paraId="69D9783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26.6质疑人在答复期满前撤回质疑的，应由</w:t>
      </w:r>
      <w:r>
        <w:rPr>
          <w:rFonts w:hint="eastAsia" w:ascii="宋体" w:hAnsi="宋体" w:cs="宋体"/>
          <w:color w:val="auto"/>
          <w:szCs w:val="21"/>
          <w:highlight w:val="none"/>
        </w:rPr>
        <w:t>法定代表人</w:t>
      </w:r>
      <w:r>
        <w:rPr>
          <w:rFonts w:hint="eastAsia" w:ascii="宋体" w:hAnsi="宋体" w:cs="宋体"/>
          <w:bCs/>
          <w:color w:val="auto"/>
          <w:szCs w:val="21"/>
          <w:highlight w:val="none"/>
        </w:rPr>
        <w:t>或授权代表人签字确认，采购代理机构即终止质疑处理程序。质疑人不得以同一理由再次质疑。</w:t>
      </w:r>
    </w:p>
    <w:p w14:paraId="542E6C6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质疑人对质疑答复不满意或某采购代理机构未在规定时间内作出答复的，可以在规定期限内向监督管理部门提起投诉。</w:t>
      </w:r>
    </w:p>
    <w:p w14:paraId="3FDD65F2">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质疑人应在答复期满后十五个工作日内提起投诉。</w:t>
      </w:r>
    </w:p>
    <w:p w14:paraId="67BE52E1">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26.7质疑人有下列情形之一的，属于虚假、恶意质疑，采购代理机构将报监督管理部门予以处理。</w:t>
      </w:r>
    </w:p>
    <w:p w14:paraId="0A6DEDDB">
      <w:pPr>
        <w:spacing w:line="440" w:lineRule="exact"/>
        <w:ind w:firstLine="420" w:firstLineChars="200"/>
        <w:outlineLvl w:val="4"/>
        <w:rPr>
          <w:rFonts w:hint="eastAsia" w:ascii="宋体" w:hAnsi="宋体" w:cs="宋体"/>
          <w:bCs/>
          <w:color w:val="auto"/>
          <w:szCs w:val="21"/>
          <w:highlight w:val="none"/>
        </w:rPr>
      </w:pPr>
      <w:r>
        <w:rPr>
          <w:rFonts w:hint="eastAsia" w:ascii="宋体" w:hAnsi="宋体" w:cs="宋体"/>
          <w:bCs/>
          <w:color w:val="auto"/>
          <w:szCs w:val="21"/>
          <w:highlight w:val="none"/>
        </w:rPr>
        <w:t>26.7.1一年内三次以上质疑均查无实据的；</w:t>
      </w:r>
    </w:p>
    <w:p w14:paraId="36C9541E">
      <w:pPr>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26.7.2捏造事实恶意诬陷他人、有意提供虚假质疑材料的</w:t>
      </w:r>
      <w:r>
        <w:rPr>
          <w:rFonts w:hint="eastAsia" w:ascii="宋体" w:hAnsi="宋体" w:cs="宋体"/>
          <w:color w:val="auto"/>
          <w:szCs w:val="21"/>
          <w:highlight w:val="none"/>
        </w:rPr>
        <w:t>或者通过非法手段获取材料的。</w:t>
      </w:r>
    </w:p>
    <w:p w14:paraId="45CAB281">
      <w:pPr>
        <w:spacing w:line="440" w:lineRule="exact"/>
        <w:ind w:firstLine="413" w:firstLineChars="196"/>
        <w:outlineLvl w:val="2"/>
        <w:rPr>
          <w:rFonts w:hint="eastAsia" w:ascii="宋体" w:hAnsi="宋体" w:cs="宋体"/>
          <w:b/>
          <w:color w:val="auto"/>
          <w:szCs w:val="21"/>
          <w:highlight w:val="none"/>
        </w:rPr>
      </w:pPr>
      <w:bookmarkStart w:id="170" w:name="_Toc13776"/>
      <w:r>
        <w:rPr>
          <w:rFonts w:hint="eastAsia" w:ascii="宋体" w:hAnsi="宋体" w:cs="宋体"/>
          <w:b/>
          <w:color w:val="auto"/>
          <w:szCs w:val="21"/>
          <w:highlight w:val="none"/>
        </w:rPr>
        <w:t>27.未尽事宜</w:t>
      </w:r>
      <w:bookmarkEnd w:id="170"/>
    </w:p>
    <w:p w14:paraId="5DE22824">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27.1参照相关法律法规的规定执行。</w:t>
      </w:r>
    </w:p>
    <w:p w14:paraId="6A0480B8">
      <w:pPr>
        <w:spacing w:line="440" w:lineRule="exact"/>
        <w:ind w:firstLine="413" w:firstLineChars="196"/>
        <w:outlineLvl w:val="2"/>
        <w:rPr>
          <w:rFonts w:hint="eastAsia" w:ascii="宋体" w:hAnsi="宋体" w:cs="宋体"/>
          <w:bCs/>
          <w:color w:val="auto"/>
          <w:szCs w:val="21"/>
          <w:highlight w:val="none"/>
        </w:rPr>
      </w:pPr>
      <w:bookmarkStart w:id="171" w:name="_Toc7685"/>
      <w:r>
        <w:rPr>
          <w:rFonts w:hint="eastAsia" w:ascii="宋体" w:hAnsi="宋体" w:cs="宋体"/>
          <w:b/>
          <w:color w:val="auto"/>
          <w:szCs w:val="21"/>
          <w:highlight w:val="none"/>
        </w:rPr>
        <w:t>28.解释权</w:t>
      </w:r>
      <w:bookmarkEnd w:id="171"/>
    </w:p>
    <w:p w14:paraId="0660F60D">
      <w:pPr>
        <w:spacing w:line="440" w:lineRule="exact"/>
        <w:ind w:firstLine="420" w:firstLineChars="200"/>
        <w:outlineLvl w:val="3"/>
        <w:rPr>
          <w:rFonts w:hint="eastAsia" w:ascii="宋体" w:hAnsi="宋体" w:cs="宋体"/>
          <w:color w:val="auto"/>
          <w:highlight w:val="none"/>
        </w:rPr>
      </w:pPr>
      <w:r>
        <w:rPr>
          <w:rFonts w:hint="eastAsia" w:ascii="宋体" w:hAnsi="宋体" w:cs="宋体"/>
          <w:bCs/>
          <w:color w:val="auto"/>
          <w:szCs w:val="21"/>
          <w:highlight w:val="none"/>
        </w:rPr>
        <w:t>28.1本采购文件的解释权属于采购人或采购代理机构。</w:t>
      </w:r>
    </w:p>
    <w:p w14:paraId="2924033F">
      <w:pPr>
        <w:pageBreakBefore/>
        <w:jc w:val="center"/>
        <w:rPr>
          <w:rFonts w:hint="eastAsia" w:ascii="宋体" w:hAnsi="宋体" w:cs="宋体"/>
          <w:b/>
          <w:color w:val="auto"/>
          <w:sz w:val="28"/>
          <w:highlight w:val="none"/>
        </w:rPr>
        <w:sectPr>
          <w:footerReference r:id="rId6" w:type="first"/>
          <w:footerReference r:id="rId5" w:type="default"/>
          <w:pgSz w:w="11906" w:h="16838"/>
          <w:pgMar w:top="1134" w:right="1417" w:bottom="1134" w:left="1417" w:header="283" w:footer="680" w:gutter="0"/>
          <w:pgNumType w:start="1"/>
          <w:cols w:space="720" w:num="1"/>
          <w:titlePg/>
          <w:docGrid w:type="lines" w:linePitch="312" w:charSpace="0"/>
        </w:sectPr>
      </w:pPr>
    </w:p>
    <w:p w14:paraId="6847A8C0">
      <w:pPr>
        <w:pageBreakBefore/>
        <w:spacing w:before="162" w:beforeLines="50" w:after="162" w:afterLines="50" w:line="440" w:lineRule="exact"/>
        <w:jc w:val="center"/>
        <w:outlineLvl w:val="1"/>
        <w:rPr>
          <w:rFonts w:hint="eastAsia" w:ascii="黑体" w:hAnsi="黑体" w:eastAsia="黑体" w:cs="黑体"/>
          <w:b/>
          <w:bCs/>
          <w:color w:val="auto"/>
          <w:sz w:val="32"/>
          <w:szCs w:val="32"/>
          <w:highlight w:val="none"/>
        </w:rPr>
      </w:pPr>
      <w:bookmarkStart w:id="172" w:name="_Toc469495731"/>
      <w:bookmarkStart w:id="173" w:name="_Toc16257"/>
      <w:bookmarkStart w:id="174" w:name="_Toc759"/>
      <w:bookmarkStart w:id="175" w:name="_Toc26132"/>
      <w:r>
        <w:rPr>
          <w:rFonts w:hint="eastAsia" w:ascii="黑体" w:hAnsi="黑体" w:eastAsia="黑体" w:cs="黑体"/>
          <w:b/>
          <w:bCs/>
          <w:color w:val="auto"/>
          <w:sz w:val="32"/>
          <w:szCs w:val="32"/>
          <w:highlight w:val="none"/>
        </w:rPr>
        <w:t>第二章  评标办法</w:t>
      </w:r>
      <w:bookmarkEnd w:id="172"/>
      <w:bookmarkEnd w:id="173"/>
      <w:bookmarkEnd w:id="174"/>
      <w:bookmarkEnd w:id="175"/>
    </w:p>
    <w:p w14:paraId="1BE5CB3A">
      <w:pPr>
        <w:spacing w:before="162" w:beforeLines="50" w:after="162" w:afterLines="50" w:line="440" w:lineRule="exact"/>
        <w:jc w:val="center"/>
        <w:outlineLvl w:val="2"/>
        <w:rPr>
          <w:rFonts w:hint="eastAsia" w:ascii="黑体" w:hAnsi="黑体" w:eastAsia="黑体" w:cs="黑体"/>
          <w:b/>
          <w:color w:val="auto"/>
          <w:sz w:val="28"/>
          <w:szCs w:val="28"/>
          <w:highlight w:val="none"/>
        </w:rPr>
      </w:pPr>
      <w:bookmarkStart w:id="176" w:name="_Toc16128"/>
      <w:bookmarkStart w:id="177" w:name="_Toc469495732"/>
      <w:bookmarkStart w:id="178" w:name="_Toc4193"/>
      <w:bookmarkStart w:id="179" w:name="_Toc19225"/>
      <w:bookmarkStart w:id="180" w:name="_Toc362983801"/>
      <w:bookmarkStart w:id="181" w:name="_Toc30736"/>
      <w:bookmarkStart w:id="182" w:name="_Toc267320058"/>
      <w:r>
        <w:rPr>
          <w:rFonts w:hint="eastAsia" w:ascii="黑体" w:hAnsi="黑体" w:eastAsia="黑体" w:cs="黑体"/>
          <w:b/>
          <w:color w:val="auto"/>
          <w:sz w:val="28"/>
          <w:szCs w:val="28"/>
          <w:highlight w:val="none"/>
        </w:rPr>
        <w:t>一  总则</w:t>
      </w:r>
      <w:bookmarkEnd w:id="176"/>
      <w:bookmarkEnd w:id="177"/>
      <w:bookmarkEnd w:id="178"/>
      <w:bookmarkEnd w:id="179"/>
      <w:bookmarkEnd w:id="180"/>
      <w:bookmarkEnd w:id="181"/>
    </w:p>
    <w:p w14:paraId="12D490EF">
      <w:pPr>
        <w:spacing w:line="440" w:lineRule="exact"/>
        <w:ind w:firstLine="422" w:firstLineChars="200"/>
        <w:jc w:val="left"/>
        <w:outlineLvl w:val="2"/>
        <w:rPr>
          <w:rFonts w:hint="eastAsia" w:ascii="黑体" w:hAnsi="黑体" w:eastAsia="黑体" w:cs="黑体"/>
          <w:b/>
          <w:color w:val="auto"/>
          <w:szCs w:val="21"/>
          <w:highlight w:val="none"/>
        </w:rPr>
      </w:pPr>
      <w:bookmarkStart w:id="183" w:name="_Toc32532"/>
      <w:bookmarkStart w:id="184" w:name="_Toc12964"/>
      <w:bookmarkStart w:id="185" w:name="_Toc469495733"/>
      <w:bookmarkStart w:id="186" w:name="_Toc362983802"/>
      <w:r>
        <w:rPr>
          <w:rFonts w:hint="eastAsia" w:ascii="黑体" w:hAnsi="黑体" w:eastAsia="黑体" w:cs="黑体"/>
          <w:b/>
          <w:color w:val="auto"/>
          <w:szCs w:val="21"/>
          <w:highlight w:val="none"/>
        </w:rPr>
        <w:t>1. 本次评标采用综合评分法</w:t>
      </w:r>
      <w:bookmarkEnd w:id="183"/>
      <w:bookmarkEnd w:id="184"/>
    </w:p>
    <w:p w14:paraId="3389112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1.1综合评分法是指投标文件满足采购文件全部实质性要求且按照评审因素的量化指标评审总得分从高到低的供应商为中标候选人的评标方法。</w:t>
      </w:r>
    </w:p>
    <w:p w14:paraId="7A0138B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73E24F1">
      <w:pPr>
        <w:spacing w:line="440" w:lineRule="exact"/>
        <w:ind w:firstLine="422" w:firstLineChars="200"/>
        <w:jc w:val="left"/>
        <w:outlineLvl w:val="2"/>
        <w:rPr>
          <w:rFonts w:hint="eastAsia" w:ascii="黑体" w:hAnsi="黑体" w:eastAsia="黑体" w:cs="黑体"/>
          <w:b/>
          <w:color w:val="auto"/>
          <w:szCs w:val="21"/>
          <w:highlight w:val="none"/>
        </w:rPr>
      </w:pPr>
      <w:bookmarkStart w:id="187" w:name="_Toc207"/>
      <w:bookmarkStart w:id="188" w:name="_Toc23084"/>
      <w:r>
        <w:rPr>
          <w:rFonts w:hint="eastAsia" w:ascii="黑体" w:hAnsi="黑体" w:eastAsia="黑体" w:cs="黑体"/>
          <w:b/>
          <w:color w:val="auto"/>
          <w:szCs w:val="21"/>
          <w:highlight w:val="none"/>
        </w:rPr>
        <w:t>2．评标程序</w:t>
      </w:r>
      <w:bookmarkEnd w:id="187"/>
      <w:bookmarkEnd w:id="188"/>
    </w:p>
    <w:p w14:paraId="1A2DA291">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2.1投标文件的初审</w:t>
      </w:r>
    </w:p>
    <w:p w14:paraId="2EFAC61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2.1.1资格性检查。依据法律法规和采购文件的规定，对投标文件中的资格证明、投标保证金等进行审查，以确定投标供应商是否具备投标资格。 </w:t>
      </w:r>
    </w:p>
    <w:p w14:paraId="62C76D6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2.1.2符合性检查。依据采购文件的规定，从投标文件的有效性、完整性和对采购文件的响应程度进行审查，以确定投标供应商是否对采购文件的实质性要求作出响应。</w:t>
      </w:r>
    </w:p>
    <w:p w14:paraId="76AEA003">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2.2投标文件的澄清</w:t>
      </w:r>
    </w:p>
    <w:p w14:paraId="150BC6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2.2.1在评标过程中，评标委员会认为需要，可要求投标供应商对投标文件中的有关问题进行澄清或提供补充说明及有关资料，投标供应商应作出答复。答复中不得变更价格、供货期、自报质量等实质性内容。</w:t>
      </w:r>
    </w:p>
    <w:p w14:paraId="0C0689B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2.2.2经投标供应商在系统中做出的有效答复将视为投标文件的组成部分。投标截止时间后，投标供应商对投标报价或其他实质性内容修正的函件和增加的任何优惠条件，一律不得作为评标、定标的依据。</w:t>
      </w:r>
    </w:p>
    <w:p w14:paraId="419B3134">
      <w:pPr>
        <w:spacing w:line="44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2.2.3采购人不接受投标供应商主动提出的澄清。</w:t>
      </w:r>
    </w:p>
    <w:p w14:paraId="704B602C">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2.3比较与评价</w:t>
      </w:r>
    </w:p>
    <w:p w14:paraId="759ED0B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2.3.1按采购文件中规定的评标方法和标准，对资格性检查和符合性检查合格的投标文件进行资信、商务和技术评估，综合比较与评价。 </w:t>
      </w:r>
    </w:p>
    <w:p w14:paraId="30F285A3">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2.4推荐中标候选人名单</w:t>
      </w:r>
    </w:p>
    <w:p w14:paraId="198786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59D3FFC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2.5在投标文件的审查、澄清、评价和比较以及授予合同过程中，投标供应商对采购单位和评标委员会成员施加影响的任何行为，都将导致取消其中标资格。</w:t>
      </w:r>
    </w:p>
    <w:p w14:paraId="63B798F4">
      <w:pPr>
        <w:spacing w:before="162" w:beforeLines="50" w:after="162" w:afterLines="50" w:line="440" w:lineRule="exact"/>
        <w:jc w:val="center"/>
        <w:outlineLvl w:val="2"/>
        <w:rPr>
          <w:rFonts w:hint="eastAsia" w:ascii="黑体" w:hAnsi="黑体" w:eastAsia="黑体" w:cs="黑体"/>
          <w:b/>
          <w:color w:val="auto"/>
          <w:sz w:val="28"/>
          <w:szCs w:val="28"/>
          <w:highlight w:val="none"/>
        </w:rPr>
      </w:pPr>
      <w:bookmarkStart w:id="189" w:name="_Toc15979"/>
      <w:bookmarkStart w:id="190" w:name="_Toc23006"/>
      <w:bookmarkStart w:id="191" w:name="_Toc3636"/>
      <w:bookmarkStart w:id="192" w:name="_Toc22076"/>
      <w:r>
        <w:rPr>
          <w:rFonts w:hint="eastAsia" w:ascii="黑体" w:hAnsi="黑体" w:eastAsia="黑体" w:cs="黑体"/>
          <w:b/>
          <w:color w:val="auto"/>
          <w:sz w:val="28"/>
          <w:szCs w:val="28"/>
          <w:highlight w:val="none"/>
        </w:rPr>
        <w:t>二  投标文件初审</w:t>
      </w:r>
      <w:bookmarkEnd w:id="185"/>
      <w:bookmarkEnd w:id="186"/>
      <w:bookmarkEnd w:id="189"/>
      <w:bookmarkEnd w:id="190"/>
      <w:bookmarkEnd w:id="191"/>
      <w:bookmarkEnd w:id="192"/>
    </w:p>
    <w:p w14:paraId="3E242752">
      <w:pPr>
        <w:spacing w:line="440" w:lineRule="exact"/>
        <w:ind w:firstLine="422" w:firstLineChars="200"/>
        <w:jc w:val="left"/>
        <w:outlineLvl w:val="2"/>
        <w:rPr>
          <w:rFonts w:hint="eastAsia" w:ascii="黑体" w:hAnsi="黑体" w:eastAsia="黑体" w:cs="黑体"/>
          <w:b/>
          <w:color w:val="auto"/>
          <w:szCs w:val="21"/>
          <w:highlight w:val="none"/>
        </w:rPr>
      </w:pPr>
      <w:bookmarkStart w:id="193" w:name="_Toc6807"/>
      <w:bookmarkStart w:id="194" w:name="_Toc26998"/>
      <w:r>
        <w:rPr>
          <w:rFonts w:hint="eastAsia" w:ascii="黑体" w:hAnsi="黑体" w:eastAsia="黑体" w:cs="黑体"/>
          <w:b/>
          <w:color w:val="auto"/>
          <w:szCs w:val="21"/>
          <w:highlight w:val="none"/>
        </w:rPr>
        <w:t>3.资格性审查：</w:t>
      </w:r>
      <w:bookmarkEnd w:id="193"/>
      <w:bookmarkEnd w:id="194"/>
    </w:p>
    <w:p w14:paraId="3AAE9D7D">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27"/>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6"/>
        <w:gridCol w:w="3571"/>
        <w:gridCol w:w="4763"/>
      </w:tblGrid>
      <w:tr w14:paraId="3D6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0" w:type="dxa"/>
            <w:noWrap w:val="0"/>
            <w:vAlign w:val="center"/>
          </w:tcPr>
          <w:p w14:paraId="53AB9B98">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序号</w:t>
            </w:r>
          </w:p>
        </w:tc>
        <w:tc>
          <w:tcPr>
            <w:tcW w:w="4867" w:type="dxa"/>
            <w:gridSpan w:val="2"/>
            <w:noWrap w:val="0"/>
            <w:vAlign w:val="center"/>
          </w:tcPr>
          <w:p w14:paraId="4D4AF8E3">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评审因素</w:t>
            </w:r>
          </w:p>
        </w:tc>
        <w:tc>
          <w:tcPr>
            <w:tcW w:w="4763" w:type="dxa"/>
            <w:noWrap w:val="0"/>
            <w:vAlign w:val="center"/>
          </w:tcPr>
          <w:p w14:paraId="19B30DB7">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评审标准</w:t>
            </w:r>
          </w:p>
        </w:tc>
      </w:tr>
      <w:tr w14:paraId="122A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0" w:type="dxa"/>
            <w:noWrap w:val="0"/>
            <w:vAlign w:val="center"/>
          </w:tcPr>
          <w:p w14:paraId="656C783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96" w:type="dxa"/>
            <w:noWrap w:val="0"/>
            <w:vAlign w:val="center"/>
          </w:tcPr>
          <w:p w14:paraId="5B28ED2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571" w:type="dxa"/>
            <w:noWrap w:val="0"/>
            <w:vAlign w:val="center"/>
          </w:tcPr>
          <w:p w14:paraId="3B83761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763" w:type="dxa"/>
            <w:noWrap w:val="0"/>
            <w:vAlign w:val="center"/>
          </w:tcPr>
          <w:p w14:paraId="20FCF82E">
            <w:pPr>
              <w:spacing w:line="440" w:lineRule="exact"/>
              <w:rPr>
                <w:rFonts w:ascii="宋体" w:hAnsi="宋体" w:cs="宋体"/>
                <w:color w:val="auto"/>
                <w:szCs w:val="21"/>
                <w:highlight w:val="none"/>
              </w:rPr>
            </w:pPr>
            <w:r>
              <w:rPr>
                <w:rFonts w:hint="eastAsia" w:ascii="宋体" w:hAnsi="宋体" w:cs="宋体"/>
                <w:color w:val="auto"/>
                <w:szCs w:val="21"/>
                <w:highlight w:val="none"/>
              </w:rPr>
              <w:t>现场核对原件</w:t>
            </w:r>
          </w:p>
        </w:tc>
      </w:tr>
      <w:tr w14:paraId="1EB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0" w:type="dxa"/>
            <w:vMerge w:val="restart"/>
            <w:noWrap w:val="0"/>
            <w:vAlign w:val="center"/>
          </w:tcPr>
          <w:p w14:paraId="1A00853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96" w:type="dxa"/>
            <w:vMerge w:val="restart"/>
            <w:noWrap w:val="0"/>
            <w:vAlign w:val="center"/>
          </w:tcPr>
          <w:p w14:paraId="1A086B4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投标供应商应符合的基本资格条件</w:t>
            </w:r>
          </w:p>
        </w:tc>
        <w:tc>
          <w:tcPr>
            <w:tcW w:w="3571" w:type="dxa"/>
            <w:noWrap w:val="0"/>
            <w:vAlign w:val="center"/>
          </w:tcPr>
          <w:p w14:paraId="7453E7A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（2）具有承担民事责任的能力</w:t>
            </w:r>
          </w:p>
        </w:tc>
        <w:tc>
          <w:tcPr>
            <w:tcW w:w="4763" w:type="dxa"/>
            <w:noWrap w:val="0"/>
            <w:vAlign w:val="center"/>
          </w:tcPr>
          <w:p w14:paraId="637FF7F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投标供应商有效的营业执照 （或三证合一的有效证件）</w:t>
            </w:r>
            <w:r>
              <w:rPr>
                <w:rFonts w:hint="eastAsia" w:ascii="宋体" w:hAnsi="宋体" w:cs="宋体"/>
                <w:b/>
                <w:bCs/>
                <w:color w:val="auto"/>
                <w:szCs w:val="21"/>
                <w:highlight w:val="none"/>
              </w:rPr>
              <w:t xml:space="preserve">复印件加盖公章 </w:t>
            </w:r>
          </w:p>
        </w:tc>
      </w:tr>
      <w:tr w14:paraId="4A00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14:paraId="1EF4E7B1">
            <w:pPr>
              <w:spacing w:line="440" w:lineRule="exact"/>
              <w:jc w:val="center"/>
              <w:rPr>
                <w:rFonts w:hint="eastAsia" w:ascii="宋体" w:hAnsi="宋体" w:cs="宋体"/>
                <w:color w:val="auto"/>
                <w:szCs w:val="21"/>
                <w:highlight w:val="none"/>
              </w:rPr>
            </w:pPr>
          </w:p>
        </w:tc>
        <w:tc>
          <w:tcPr>
            <w:tcW w:w="1296" w:type="dxa"/>
            <w:vMerge w:val="continue"/>
            <w:noWrap w:val="0"/>
            <w:vAlign w:val="center"/>
          </w:tcPr>
          <w:p w14:paraId="1502144D">
            <w:pPr>
              <w:spacing w:line="440" w:lineRule="exact"/>
              <w:rPr>
                <w:rFonts w:hint="eastAsia" w:ascii="宋体" w:hAnsi="宋体" w:cs="宋体"/>
                <w:color w:val="auto"/>
                <w:szCs w:val="21"/>
                <w:highlight w:val="none"/>
              </w:rPr>
            </w:pPr>
          </w:p>
        </w:tc>
        <w:tc>
          <w:tcPr>
            <w:tcW w:w="3571" w:type="dxa"/>
            <w:noWrap w:val="0"/>
            <w:vAlign w:val="center"/>
          </w:tcPr>
          <w:p w14:paraId="4CB138B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（3）参加采购活动近三年内，在经营活动中没有重大违法记录</w:t>
            </w:r>
          </w:p>
        </w:tc>
        <w:tc>
          <w:tcPr>
            <w:tcW w:w="4763" w:type="dxa"/>
            <w:noWrap w:val="0"/>
            <w:vAlign w:val="center"/>
          </w:tcPr>
          <w:p w14:paraId="34D631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参加本项目近三年内无重大违法记录声明（格式自拟）</w:t>
            </w:r>
          </w:p>
        </w:tc>
      </w:tr>
      <w:tr w14:paraId="286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14:paraId="14A340A0">
            <w:pPr>
              <w:spacing w:line="440" w:lineRule="exact"/>
              <w:jc w:val="center"/>
              <w:rPr>
                <w:rFonts w:hint="eastAsia" w:ascii="宋体" w:hAnsi="宋体" w:cs="宋体"/>
                <w:color w:val="auto"/>
                <w:szCs w:val="21"/>
                <w:highlight w:val="none"/>
              </w:rPr>
            </w:pPr>
          </w:p>
        </w:tc>
        <w:tc>
          <w:tcPr>
            <w:tcW w:w="1296" w:type="dxa"/>
            <w:vMerge w:val="continue"/>
            <w:noWrap w:val="0"/>
            <w:vAlign w:val="center"/>
          </w:tcPr>
          <w:p w14:paraId="5FF7795B">
            <w:pPr>
              <w:spacing w:line="440" w:lineRule="exact"/>
              <w:rPr>
                <w:rFonts w:hint="eastAsia" w:ascii="宋体" w:hAnsi="宋体" w:cs="宋体"/>
                <w:color w:val="auto"/>
                <w:szCs w:val="21"/>
                <w:highlight w:val="none"/>
              </w:rPr>
            </w:pPr>
          </w:p>
        </w:tc>
        <w:tc>
          <w:tcPr>
            <w:tcW w:w="3571" w:type="dxa"/>
            <w:noWrap w:val="0"/>
            <w:vAlign w:val="center"/>
          </w:tcPr>
          <w:p w14:paraId="0F58C39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（4）诚信投标承诺书</w:t>
            </w:r>
          </w:p>
        </w:tc>
        <w:tc>
          <w:tcPr>
            <w:tcW w:w="4763" w:type="dxa"/>
            <w:noWrap w:val="0"/>
            <w:vAlign w:val="center"/>
          </w:tcPr>
          <w:p w14:paraId="05405C22">
            <w:pPr>
              <w:spacing w:line="440" w:lineRule="exact"/>
              <w:rPr>
                <w:rFonts w:ascii="宋体" w:hAnsi="宋体" w:cs="宋体"/>
                <w:color w:val="auto"/>
                <w:szCs w:val="21"/>
                <w:highlight w:val="none"/>
              </w:rPr>
            </w:pPr>
            <w:r>
              <w:rPr>
                <w:rFonts w:hint="eastAsia" w:ascii="宋体" w:hAnsi="宋体" w:cs="宋体"/>
                <w:color w:val="auto"/>
                <w:szCs w:val="21"/>
                <w:highlight w:val="none"/>
              </w:rPr>
              <w:t>核验投标文件</w:t>
            </w:r>
          </w:p>
        </w:tc>
      </w:tr>
    </w:tbl>
    <w:p w14:paraId="6E245044">
      <w:pPr>
        <w:widowControl/>
        <w:spacing w:line="440" w:lineRule="exact"/>
        <w:ind w:firstLine="422" w:firstLineChars="200"/>
        <w:textAlignment w:val="baseline"/>
        <w:rPr>
          <w:rFonts w:hint="eastAsia" w:ascii="宋体" w:hAnsi="宋体" w:cs="宋体"/>
          <w:b/>
          <w:bCs/>
          <w:color w:val="auto"/>
          <w:kern w:val="0"/>
          <w:szCs w:val="21"/>
          <w:highlight w:val="none"/>
          <w:u w:val="none" w:color="000000"/>
        </w:rPr>
      </w:pPr>
      <w:r>
        <w:rPr>
          <w:rFonts w:hint="eastAsia" w:ascii="宋体" w:hAnsi="宋体" w:cs="宋体"/>
          <w:b/>
          <w:bCs/>
          <w:color w:val="auto"/>
          <w:kern w:val="0"/>
          <w:szCs w:val="21"/>
          <w:highlight w:val="none"/>
          <w:u w:val="none" w:color="000000"/>
        </w:rPr>
        <w:t>以上要求提供的证件复印件或通过公证的公证件复印件按顺序装订成册加盖公章并密封于“投标书一”的密封袋内。投标供应商所提交的资信证明文件必须完整，否则将导致无效投标。</w:t>
      </w:r>
    </w:p>
    <w:p w14:paraId="1F1EE458">
      <w:pPr>
        <w:spacing w:line="440" w:lineRule="exact"/>
        <w:ind w:firstLine="422" w:firstLineChars="200"/>
        <w:outlineLvl w:val="2"/>
        <w:rPr>
          <w:rFonts w:hint="eastAsia" w:ascii="黑体" w:hAnsi="黑体" w:eastAsia="黑体" w:cs="黑体"/>
          <w:b/>
          <w:color w:val="auto"/>
          <w:szCs w:val="21"/>
          <w:highlight w:val="none"/>
        </w:rPr>
      </w:pPr>
      <w:bookmarkStart w:id="195" w:name="_Toc23502"/>
      <w:bookmarkStart w:id="196" w:name="_Toc24327"/>
      <w:r>
        <w:rPr>
          <w:rFonts w:hint="eastAsia" w:ascii="黑体" w:hAnsi="黑体" w:eastAsia="黑体" w:cs="黑体"/>
          <w:b/>
          <w:color w:val="auto"/>
          <w:szCs w:val="21"/>
          <w:highlight w:val="none"/>
        </w:rPr>
        <w:t>4.符合性审查</w:t>
      </w:r>
      <w:bookmarkEnd w:id="195"/>
      <w:bookmarkEnd w:id="196"/>
    </w:p>
    <w:p w14:paraId="293A3741">
      <w:pPr>
        <w:spacing w:line="440" w:lineRule="exact"/>
        <w:ind w:firstLine="420" w:firstLineChars="200"/>
        <w:outlineLvl w:val="3"/>
        <w:rPr>
          <w:rFonts w:hint="eastAsia" w:ascii="宋体" w:hAnsi="宋体" w:cs="宋体"/>
          <w:bCs/>
          <w:color w:val="auto"/>
          <w:szCs w:val="21"/>
          <w:highlight w:val="none"/>
        </w:rPr>
      </w:pPr>
      <w:r>
        <w:rPr>
          <w:rFonts w:hint="eastAsia" w:ascii="宋体" w:hAnsi="宋体" w:cs="宋体"/>
          <w:bCs/>
          <w:color w:val="auto"/>
          <w:szCs w:val="21"/>
          <w:highlight w:val="none"/>
        </w:rPr>
        <w:t>4．1评审细则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024"/>
      </w:tblGrid>
      <w:tr w14:paraId="6EEF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2FA3D035">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序号</w:t>
            </w:r>
          </w:p>
        </w:tc>
        <w:tc>
          <w:tcPr>
            <w:tcW w:w="4135" w:type="dxa"/>
            <w:gridSpan w:val="2"/>
            <w:noWrap w:val="0"/>
            <w:vAlign w:val="center"/>
          </w:tcPr>
          <w:p w14:paraId="00B5125E">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审查因素</w:t>
            </w:r>
          </w:p>
        </w:tc>
        <w:tc>
          <w:tcPr>
            <w:tcW w:w="5024" w:type="dxa"/>
            <w:noWrap w:val="0"/>
            <w:vAlign w:val="center"/>
          </w:tcPr>
          <w:p w14:paraId="2F01A0CD">
            <w:pPr>
              <w:spacing w:line="440" w:lineRule="exact"/>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审查内容</w:t>
            </w:r>
          </w:p>
        </w:tc>
      </w:tr>
      <w:tr w14:paraId="232F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1" w:type="dxa"/>
            <w:vMerge w:val="restart"/>
            <w:noWrap w:val="0"/>
            <w:vAlign w:val="center"/>
          </w:tcPr>
          <w:p w14:paraId="7F293ED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257715C5">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标书的有效性</w:t>
            </w:r>
          </w:p>
        </w:tc>
        <w:tc>
          <w:tcPr>
            <w:tcW w:w="2931" w:type="dxa"/>
            <w:noWrap w:val="0"/>
            <w:vAlign w:val="center"/>
          </w:tcPr>
          <w:p w14:paraId="2762B6C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5024" w:type="dxa"/>
            <w:noWrap w:val="0"/>
            <w:vAlign w:val="center"/>
          </w:tcPr>
          <w:p w14:paraId="62DA4B5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9F8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254A51CD">
            <w:pPr>
              <w:spacing w:line="440" w:lineRule="exact"/>
              <w:rPr>
                <w:rFonts w:hint="eastAsia" w:ascii="宋体" w:hAnsi="宋体" w:cs="宋体"/>
                <w:color w:val="auto"/>
                <w:szCs w:val="21"/>
                <w:highlight w:val="none"/>
              </w:rPr>
            </w:pPr>
          </w:p>
        </w:tc>
        <w:tc>
          <w:tcPr>
            <w:tcW w:w="1204" w:type="dxa"/>
            <w:vMerge w:val="continue"/>
            <w:noWrap w:val="0"/>
            <w:vAlign w:val="center"/>
          </w:tcPr>
          <w:p w14:paraId="7E5B242D">
            <w:pPr>
              <w:spacing w:line="440" w:lineRule="exact"/>
              <w:jc w:val="center"/>
              <w:rPr>
                <w:rFonts w:hint="eastAsia" w:ascii="宋体" w:hAnsi="宋体" w:cs="宋体"/>
                <w:color w:val="auto"/>
                <w:szCs w:val="21"/>
                <w:highlight w:val="none"/>
              </w:rPr>
            </w:pPr>
          </w:p>
        </w:tc>
        <w:tc>
          <w:tcPr>
            <w:tcW w:w="2931" w:type="dxa"/>
            <w:noWrap w:val="0"/>
            <w:vAlign w:val="center"/>
          </w:tcPr>
          <w:p w14:paraId="0634A4B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5024" w:type="dxa"/>
            <w:noWrap w:val="0"/>
            <w:vAlign w:val="center"/>
          </w:tcPr>
          <w:p w14:paraId="6E7B6B27">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278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1" w:type="dxa"/>
            <w:vMerge w:val="continue"/>
            <w:noWrap w:val="0"/>
            <w:vAlign w:val="center"/>
          </w:tcPr>
          <w:p w14:paraId="6DF97C28">
            <w:pPr>
              <w:spacing w:line="440" w:lineRule="exact"/>
              <w:rPr>
                <w:rFonts w:hint="eastAsia" w:ascii="宋体" w:hAnsi="宋体" w:cs="宋体"/>
                <w:color w:val="auto"/>
                <w:szCs w:val="21"/>
                <w:highlight w:val="none"/>
              </w:rPr>
            </w:pPr>
          </w:p>
        </w:tc>
        <w:tc>
          <w:tcPr>
            <w:tcW w:w="1204" w:type="dxa"/>
            <w:vMerge w:val="continue"/>
            <w:noWrap w:val="0"/>
            <w:vAlign w:val="center"/>
          </w:tcPr>
          <w:p w14:paraId="51E87F8E">
            <w:pPr>
              <w:spacing w:line="440" w:lineRule="exact"/>
              <w:jc w:val="center"/>
              <w:rPr>
                <w:rFonts w:hint="eastAsia" w:ascii="宋体" w:hAnsi="宋体" w:cs="宋体"/>
                <w:color w:val="auto"/>
                <w:szCs w:val="21"/>
                <w:highlight w:val="none"/>
              </w:rPr>
            </w:pPr>
          </w:p>
        </w:tc>
        <w:tc>
          <w:tcPr>
            <w:tcW w:w="2931" w:type="dxa"/>
            <w:noWrap w:val="0"/>
            <w:vAlign w:val="center"/>
          </w:tcPr>
          <w:p w14:paraId="50D56EFE">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5024" w:type="dxa"/>
            <w:noWrap w:val="0"/>
            <w:vAlign w:val="center"/>
          </w:tcPr>
          <w:p w14:paraId="1426792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6C6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5B00C25F">
            <w:pPr>
              <w:spacing w:line="440" w:lineRule="exact"/>
              <w:rPr>
                <w:rFonts w:hint="eastAsia" w:ascii="宋体" w:hAnsi="宋体" w:cs="宋体"/>
                <w:color w:val="auto"/>
                <w:szCs w:val="21"/>
                <w:highlight w:val="none"/>
              </w:rPr>
            </w:pPr>
          </w:p>
        </w:tc>
        <w:tc>
          <w:tcPr>
            <w:tcW w:w="1204" w:type="dxa"/>
            <w:vMerge w:val="continue"/>
            <w:noWrap w:val="0"/>
            <w:vAlign w:val="center"/>
          </w:tcPr>
          <w:p w14:paraId="2DAAF916">
            <w:pPr>
              <w:spacing w:line="440" w:lineRule="exact"/>
              <w:jc w:val="center"/>
              <w:rPr>
                <w:rFonts w:hint="eastAsia" w:ascii="宋体" w:hAnsi="宋体" w:cs="宋体"/>
                <w:color w:val="auto"/>
                <w:szCs w:val="21"/>
                <w:highlight w:val="none"/>
              </w:rPr>
            </w:pPr>
          </w:p>
        </w:tc>
        <w:tc>
          <w:tcPr>
            <w:tcW w:w="2931" w:type="dxa"/>
            <w:noWrap w:val="0"/>
            <w:vAlign w:val="center"/>
          </w:tcPr>
          <w:p w14:paraId="6E2425C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（4）投标文件的有效期</w:t>
            </w:r>
          </w:p>
        </w:tc>
        <w:tc>
          <w:tcPr>
            <w:tcW w:w="5024" w:type="dxa"/>
            <w:noWrap w:val="0"/>
            <w:vAlign w:val="center"/>
          </w:tcPr>
          <w:p w14:paraId="559B1038">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5F3C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0D8AFB3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09E5FCF9">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标书的完整性</w:t>
            </w:r>
          </w:p>
        </w:tc>
        <w:tc>
          <w:tcPr>
            <w:tcW w:w="2931" w:type="dxa"/>
            <w:noWrap w:val="0"/>
            <w:vAlign w:val="center"/>
          </w:tcPr>
          <w:p w14:paraId="3544E61B">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5024" w:type="dxa"/>
            <w:noWrap w:val="0"/>
            <w:vAlign w:val="center"/>
          </w:tcPr>
          <w:p w14:paraId="20E00F5A">
            <w:pPr>
              <w:spacing w:line="440" w:lineRule="exact"/>
              <w:rPr>
                <w:rFonts w:ascii="宋体" w:hAnsi="宋体" w:cs="宋体"/>
                <w:color w:val="auto"/>
                <w:szCs w:val="21"/>
                <w:highlight w:val="none"/>
              </w:rPr>
            </w:pPr>
            <w:r>
              <w:rPr>
                <w:rFonts w:hint="eastAsia" w:ascii="宋体" w:hAnsi="宋体" w:cs="宋体"/>
                <w:color w:val="auto"/>
                <w:szCs w:val="21"/>
                <w:highlight w:val="none"/>
                <w:lang w:val="zh-CN"/>
              </w:rPr>
              <w:t>执行采购文件要求</w:t>
            </w:r>
          </w:p>
        </w:tc>
      </w:tr>
      <w:tr w14:paraId="414B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31" w:type="dxa"/>
            <w:vMerge w:val="continue"/>
            <w:noWrap w:val="0"/>
            <w:vAlign w:val="center"/>
          </w:tcPr>
          <w:p w14:paraId="246C6E56">
            <w:pPr>
              <w:spacing w:line="440" w:lineRule="exact"/>
              <w:rPr>
                <w:rFonts w:hint="eastAsia" w:ascii="宋体" w:hAnsi="宋体" w:cs="宋体"/>
                <w:color w:val="auto"/>
                <w:szCs w:val="21"/>
                <w:highlight w:val="none"/>
              </w:rPr>
            </w:pPr>
          </w:p>
        </w:tc>
        <w:tc>
          <w:tcPr>
            <w:tcW w:w="1204" w:type="dxa"/>
            <w:vMerge w:val="continue"/>
            <w:noWrap w:val="0"/>
            <w:vAlign w:val="center"/>
          </w:tcPr>
          <w:p w14:paraId="0C46860D">
            <w:pPr>
              <w:spacing w:line="440" w:lineRule="exact"/>
              <w:jc w:val="center"/>
              <w:rPr>
                <w:rFonts w:hint="eastAsia" w:ascii="宋体" w:hAnsi="宋体" w:cs="宋体"/>
                <w:color w:val="auto"/>
                <w:szCs w:val="21"/>
                <w:highlight w:val="none"/>
              </w:rPr>
            </w:pPr>
          </w:p>
        </w:tc>
        <w:tc>
          <w:tcPr>
            <w:tcW w:w="2931" w:type="dxa"/>
            <w:noWrap w:val="0"/>
            <w:vAlign w:val="center"/>
          </w:tcPr>
          <w:p w14:paraId="285B7A6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5024" w:type="dxa"/>
            <w:noWrap w:val="0"/>
            <w:vAlign w:val="center"/>
          </w:tcPr>
          <w:p w14:paraId="5F8F35AE">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44C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1" w:type="dxa"/>
            <w:vMerge w:val="restart"/>
            <w:noWrap w:val="0"/>
            <w:vAlign w:val="center"/>
          </w:tcPr>
          <w:p w14:paraId="061FA26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3695A511">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标书的响应程度</w:t>
            </w:r>
          </w:p>
        </w:tc>
        <w:tc>
          <w:tcPr>
            <w:tcW w:w="2931" w:type="dxa"/>
            <w:noWrap w:val="0"/>
            <w:vAlign w:val="center"/>
          </w:tcPr>
          <w:p w14:paraId="52364E9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5024" w:type="dxa"/>
            <w:noWrap w:val="0"/>
            <w:vAlign w:val="center"/>
          </w:tcPr>
          <w:p w14:paraId="6ED93D6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执行采购文件要求</w:t>
            </w:r>
          </w:p>
        </w:tc>
      </w:tr>
      <w:tr w14:paraId="69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noWrap w:val="0"/>
            <w:vAlign w:val="center"/>
          </w:tcPr>
          <w:p w14:paraId="5592D214">
            <w:pPr>
              <w:spacing w:line="440" w:lineRule="exact"/>
              <w:rPr>
                <w:rFonts w:hint="eastAsia" w:ascii="宋体" w:hAnsi="宋体" w:cs="宋体"/>
                <w:color w:val="auto"/>
                <w:szCs w:val="21"/>
                <w:highlight w:val="none"/>
              </w:rPr>
            </w:pPr>
          </w:p>
        </w:tc>
        <w:tc>
          <w:tcPr>
            <w:tcW w:w="1204" w:type="dxa"/>
            <w:vMerge w:val="continue"/>
            <w:noWrap w:val="0"/>
            <w:vAlign w:val="center"/>
          </w:tcPr>
          <w:p w14:paraId="6780FD54">
            <w:pPr>
              <w:spacing w:line="440" w:lineRule="exact"/>
              <w:rPr>
                <w:rFonts w:hint="eastAsia" w:ascii="宋体" w:hAnsi="宋体" w:cs="宋体"/>
                <w:color w:val="auto"/>
                <w:szCs w:val="21"/>
                <w:highlight w:val="none"/>
              </w:rPr>
            </w:pPr>
          </w:p>
        </w:tc>
        <w:tc>
          <w:tcPr>
            <w:tcW w:w="2931" w:type="dxa"/>
            <w:noWrap w:val="0"/>
            <w:vAlign w:val="center"/>
          </w:tcPr>
          <w:p w14:paraId="1FAFDB6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5024" w:type="dxa"/>
            <w:noWrap w:val="0"/>
            <w:vAlign w:val="center"/>
          </w:tcPr>
          <w:p w14:paraId="313D3E2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完全响应或优于采购文件要求</w:t>
            </w:r>
          </w:p>
        </w:tc>
      </w:tr>
    </w:tbl>
    <w:p w14:paraId="5E011D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4.2评委会判定投标文件的响应性只根据投标文件本身的内容，而不寻求外部的证据，但投标有不真实不正确的内容时除外。</w:t>
      </w:r>
    </w:p>
    <w:p w14:paraId="263B748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4.3如果投标文件实质上没有响应采购文件的要求，评委会将予以拒绝，投标供应商不得通过修正或撤销不符合要求的偏离或保留，而使其投标成为实质上响应的投标。</w:t>
      </w:r>
    </w:p>
    <w:p w14:paraId="7510A02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4.4投标供应商可在现场20分钟内对评标委员会的评审结论提出异议，评标委员会根据采购文件及有关规定对投标供应商的异议进行复议。</w:t>
      </w:r>
    </w:p>
    <w:p w14:paraId="5F0EB074">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4.5只有通过初审的投标供应商才能进入下一步评标程序。</w:t>
      </w:r>
    </w:p>
    <w:p w14:paraId="701177C0">
      <w:pPr>
        <w:spacing w:before="162" w:beforeLines="50" w:after="162" w:afterLines="50" w:line="440" w:lineRule="exact"/>
        <w:jc w:val="center"/>
        <w:outlineLvl w:val="4"/>
        <w:rPr>
          <w:rFonts w:hint="eastAsia" w:ascii="黑体" w:hAnsi="黑体" w:eastAsia="黑体" w:cs="黑体"/>
          <w:b/>
          <w:color w:val="auto"/>
          <w:sz w:val="28"/>
          <w:szCs w:val="28"/>
          <w:highlight w:val="none"/>
        </w:rPr>
      </w:pPr>
      <w:bookmarkStart w:id="197" w:name="_Toc469495734"/>
      <w:bookmarkStart w:id="198" w:name="_Toc20667"/>
      <w:bookmarkStart w:id="199" w:name="_Toc8811"/>
      <w:bookmarkStart w:id="200" w:name="_Toc362983803"/>
      <w:r>
        <w:rPr>
          <w:rFonts w:hint="eastAsia" w:ascii="黑体" w:hAnsi="黑体" w:eastAsia="黑体" w:cs="黑体"/>
          <w:b/>
          <w:color w:val="auto"/>
          <w:sz w:val="28"/>
          <w:szCs w:val="28"/>
          <w:highlight w:val="none"/>
        </w:rPr>
        <w:t>三  投标文件的澄清和补正</w:t>
      </w:r>
      <w:bookmarkEnd w:id="197"/>
      <w:bookmarkEnd w:id="198"/>
      <w:bookmarkEnd w:id="199"/>
      <w:bookmarkEnd w:id="200"/>
    </w:p>
    <w:p w14:paraId="302698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供应商就其投标书中含义不明确、同类问题表述不一致或者有明显文字和计算错误的内容进行澄清。投标供应商必须在规定时间内进行回复，否则将视为放弃回复。请投标供应商及时关注系统。</w:t>
      </w:r>
    </w:p>
    <w:p w14:paraId="3EBFBF79">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5.2评委会修正错误的原则：</w:t>
      </w:r>
    </w:p>
    <w:p w14:paraId="100D82B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5.2.1如果数字表示的金额和用文字表示的金额不一致时，以文字表示的金额为准；当货物服务报价表、投标函的总报价与开标一览表不一致时，以开标一览表为准。</w:t>
      </w:r>
    </w:p>
    <w:p w14:paraId="34E99D1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5.2.2如果单价与数量的乘积和总价不一致，以单价为准，修正总价及开标一览表；当单价小数点有明显的错位时，评委会将以总价为准，并修正其单价。</w:t>
      </w:r>
    </w:p>
    <w:p w14:paraId="4AFDFD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5.3评委会将按上述修正错误的方法调整投标文件中的投标报价，调整后的价格应对投标供应商具有约束力。无论投标供应商是接受或是拒绝调整后的价格，都应当由投标供应商进行有效确认。投标供应商拒绝对投标文件出现的错漏按上述原则进行修正、澄清、说明，评标委员会应当否决其投标。</w:t>
      </w:r>
      <w:bookmarkStart w:id="201" w:name="_Toc469495735"/>
    </w:p>
    <w:bookmarkEnd w:id="201"/>
    <w:p w14:paraId="0AF60B08">
      <w:pPr>
        <w:widowControl/>
        <w:spacing w:before="162" w:beforeLines="50" w:after="162" w:afterLines="50" w:line="440" w:lineRule="exact"/>
        <w:jc w:val="center"/>
        <w:outlineLvl w:val="4"/>
        <w:rPr>
          <w:rFonts w:ascii="黑体" w:hAnsi="黑体" w:eastAsia="黑体" w:cs="黑体"/>
          <w:b/>
          <w:color w:val="auto"/>
          <w:sz w:val="28"/>
          <w:szCs w:val="28"/>
          <w:highlight w:val="none"/>
        </w:rPr>
      </w:pPr>
      <w:bookmarkStart w:id="202" w:name="_Toc6932"/>
      <w:bookmarkStart w:id="203" w:name="_Toc27786"/>
      <w:bookmarkStart w:id="204" w:name="_Toc23516"/>
      <w:bookmarkStart w:id="205" w:name="_Toc29803"/>
      <w:bookmarkStart w:id="206" w:name="_Toc362983805"/>
      <w:bookmarkStart w:id="207" w:name="_Toc469495736"/>
      <w:r>
        <w:rPr>
          <w:rFonts w:hint="eastAsia" w:ascii="黑体" w:hAnsi="黑体" w:eastAsia="黑体" w:cs="黑体"/>
          <w:b/>
          <w:color w:val="auto"/>
          <w:sz w:val="28"/>
          <w:szCs w:val="28"/>
          <w:highlight w:val="none"/>
        </w:rPr>
        <w:t xml:space="preserve">四 </w:t>
      </w:r>
      <w:r>
        <w:rPr>
          <w:rFonts w:ascii="黑体" w:hAnsi="黑体" w:eastAsia="黑体" w:cs="黑体"/>
          <w:b/>
          <w:color w:val="auto"/>
          <w:sz w:val="28"/>
          <w:szCs w:val="28"/>
          <w:highlight w:val="none"/>
        </w:rPr>
        <w:t xml:space="preserve"> </w:t>
      </w:r>
      <w:r>
        <w:rPr>
          <w:rFonts w:hint="eastAsia" w:ascii="黑体" w:hAnsi="黑体" w:eastAsia="黑体" w:cs="黑体"/>
          <w:b/>
          <w:color w:val="auto"/>
          <w:sz w:val="28"/>
          <w:szCs w:val="28"/>
          <w:highlight w:val="none"/>
        </w:rPr>
        <w:t>比较与评价</w:t>
      </w:r>
      <w:bookmarkEnd w:id="202"/>
      <w:bookmarkEnd w:id="203"/>
    </w:p>
    <w:p w14:paraId="668B073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6.详细评审即按采购文件中规定的评标方法和标准，评标委员会将对通过初审的投标文件，进行技术和商务部分评估、综合比较与评价。</w:t>
      </w:r>
    </w:p>
    <w:p w14:paraId="4694F984">
      <w:pPr>
        <w:pStyle w:val="58"/>
        <w:spacing w:line="44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6.1资信评审细则（</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分）</w:t>
      </w:r>
      <w:r>
        <w:rPr>
          <w:rFonts w:ascii="宋体" w:hAnsi="宋体" w:cs="宋体"/>
          <w:color w:val="auto"/>
          <w:sz w:val="21"/>
          <w:szCs w:val="21"/>
          <w:highlight w:val="none"/>
        </w:rPr>
        <w:t xml:space="preserve"> </w:t>
      </w:r>
    </w:p>
    <w:tbl>
      <w:tblPr>
        <w:tblStyle w:val="27"/>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86"/>
        <w:gridCol w:w="7661"/>
      </w:tblGrid>
      <w:tr w14:paraId="550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22" w:type="dxa"/>
            <w:noWrap w:val="0"/>
            <w:vAlign w:val="center"/>
          </w:tcPr>
          <w:p w14:paraId="6A8DD914">
            <w:pPr>
              <w:pStyle w:val="58"/>
              <w:spacing w:line="440" w:lineRule="exact"/>
              <w:ind w:firstLine="0"/>
              <w:jc w:val="center"/>
              <w:rPr>
                <w:rFonts w:ascii="黑体" w:hAnsi="黑体" w:eastAsia="黑体" w:cs="黑体"/>
                <w:b/>
                <w:bCs/>
                <w:color w:val="auto"/>
                <w:kern w:val="0"/>
                <w:sz w:val="21"/>
                <w:szCs w:val="21"/>
                <w:highlight w:val="none"/>
              </w:rPr>
            </w:pPr>
            <w:r>
              <w:rPr>
                <w:rFonts w:hint="eastAsia" w:ascii="黑体" w:hAnsi="黑体" w:eastAsia="黑体" w:cs="黑体"/>
                <w:b/>
                <w:bCs/>
                <w:color w:val="auto"/>
                <w:kern w:val="0"/>
                <w:sz w:val="21"/>
                <w:szCs w:val="21"/>
                <w:highlight w:val="none"/>
              </w:rPr>
              <w:t>序号</w:t>
            </w:r>
          </w:p>
        </w:tc>
        <w:tc>
          <w:tcPr>
            <w:tcW w:w="1486" w:type="dxa"/>
            <w:noWrap w:val="0"/>
            <w:vAlign w:val="center"/>
          </w:tcPr>
          <w:p w14:paraId="68960928">
            <w:pPr>
              <w:pStyle w:val="58"/>
              <w:spacing w:line="440" w:lineRule="exact"/>
              <w:ind w:firstLine="0"/>
              <w:jc w:val="center"/>
              <w:rPr>
                <w:rFonts w:ascii="黑体" w:hAnsi="黑体" w:eastAsia="黑体" w:cs="黑体"/>
                <w:b/>
                <w:bCs/>
                <w:color w:val="auto"/>
                <w:kern w:val="0"/>
                <w:sz w:val="21"/>
                <w:szCs w:val="21"/>
                <w:highlight w:val="none"/>
              </w:rPr>
            </w:pPr>
            <w:r>
              <w:rPr>
                <w:rFonts w:hint="eastAsia" w:ascii="黑体" w:hAnsi="黑体" w:eastAsia="黑体" w:cs="黑体"/>
                <w:b/>
                <w:bCs/>
                <w:color w:val="auto"/>
                <w:sz w:val="21"/>
                <w:szCs w:val="21"/>
                <w:highlight w:val="none"/>
              </w:rPr>
              <w:t>评分因素</w:t>
            </w:r>
          </w:p>
        </w:tc>
        <w:tc>
          <w:tcPr>
            <w:tcW w:w="7661" w:type="dxa"/>
            <w:noWrap w:val="0"/>
            <w:vAlign w:val="center"/>
          </w:tcPr>
          <w:p w14:paraId="6156B007">
            <w:pPr>
              <w:pStyle w:val="58"/>
              <w:spacing w:line="440" w:lineRule="exact"/>
              <w:ind w:firstLine="0"/>
              <w:jc w:val="center"/>
              <w:rPr>
                <w:rFonts w:ascii="黑体" w:hAnsi="黑体" w:eastAsia="黑体" w:cs="黑体"/>
                <w:b/>
                <w:bCs/>
                <w:color w:val="auto"/>
                <w:kern w:val="0"/>
                <w:sz w:val="21"/>
                <w:szCs w:val="21"/>
                <w:highlight w:val="none"/>
              </w:rPr>
            </w:pPr>
            <w:r>
              <w:rPr>
                <w:rFonts w:hint="eastAsia" w:ascii="黑体" w:hAnsi="黑体" w:eastAsia="黑体" w:cs="黑体"/>
                <w:b/>
                <w:bCs/>
                <w:color w:val="auto"/>
                <w:kern w:val="0"/>
                <w:sz w:val="21"/>
                <w:szCs w:val="21"/>
                <w:highlight w:val="none"/>
              </w:rPr>
              <w:t>评审细则</w:t>
            </w:r>
          </w:p>
        </w:tc>
      </w:tr>
      <w:tr w14:paraId="52FC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22" w:type="dxa"/>
            <w:noWrap w:val="0"/>
            <w:vAlign w:val="center"/>
          </w:tcPr>
          <w:p w14:paraId="7072C306">
            <w:pPr>
              <w:pStyle w:val="58"/>
              <w:spacing w:line="440" w:lineRule="atLeast"/>
              <w:ind w:firstLine="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486" w:type="dxa"/>
            <w:noWrap w:val="0"/>
            <w:vAlign w:val="center"/>
          </w:tcPr>
          <w:p w14:paraId="58713042">
            <w:pPr>
              <w:pStyle w:val="58"/>
              <w:spacing w:line="440" w:lineRule="atLeast"/>
              <w:ind w:firstLine="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企业业绩</w:t>
            </w:r>
          </w:p>
          <w:p w14:paraId="2B848699">
            <w:pPr>
              <w:pStyle w:val="58"/>
              <w:spacing w:line="440" w:lineRule="atLeast"/>
              <w:ind w:firstLine="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tc>
        <w:tc>
          <w:tcPr>
            <w:tcW w:w="7661" w:type="dxa"/>
            <w:noWrap w:val="0"/>
            <w:vAlign w:val="center"/>
          </w:tcPr>
          <w:p w14:paraId="089D4101">
            <w:pPr>
              <w:pStyle w:val="58"/>
              <w:spacing w:line="440" w:lineRule="atLeast"/>
              <w:ind w:firstLine="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zh-CN"/>
              </w:rPr>
              <w:t>自202</w:t>
            </w: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zh-CN"/>
              </w:rPr>
              <w:t>年1月1日</w:t>
            </w:r>
            <w:r>
              <w:rPr>
                <w:rFonts w:hint="eastAsia" w:ascii="宋体" w:hAnsi="宋体" w:cs="宋体"/>
                <w:color w:val="auto"/>
                <w:kern w:val="0"/>
                <w:sz w:val="21"/>
                <w:szCs w:val="21"/>
                <w:highlight w:val="none"/>
              </w:rPr>
              <w:t>至投标截止时间止</w:t>
            </w:r>
            <w:r>
              <w:rPr>
                <w:rFonts w:hint="eastAsia" w:ascii="宋体" w:hAnsi="宋体" w:cs="宋体"/>
                <w:color w:val="auto"/>
                <w:kern w:val="0"/>
                <w:sz w:val="21"/>
                <w:szCs w:val="21"/>
                <w:highlight w:val="none"/>
                <w:lang w:val="zh-CN"/>
              </w:rPr>
              <w:t>，投标人具有与本项目类似的档案管理系统</w:t>
            </w:r>
            <w:r>
              <w:rPr>
                <w:rFonts w:hint="eastAsia" w:ascii="宋体" w:hAnsi="宋体" w:cs="宋体"/>
                <w:color w:val="auto"/>
                <w:kern w:val="0"/>
                <w:sz w:val="21"/>
                <w:szCs w:val="21"/>
                <w:highlight w:val="none"/>
              </w:rPr>
              <w:t>建设</w:t>
            </w:r>
            <w:r>
              <w:rPr>
                <w:rFonts w:hint="eastAsia" w:ascii="宋体" w:hAnsi="宋体" w:cs="宋体"/>
                <w:color w:val="auto"/>
                <w:kern w:val="0"/>
                <w:sz w:val="21"/>
                <w:szCs w:val="21"/>
                <w:highlight w:val="none"/>
                <w:lang w:val="zh-CN"/>
              </w:rPr>
              <w:t>项目的业绩，每提供一份业绩得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zh-CN"/>
              </w:rPr>
              <w:t>分，满分</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zh-CN"/>
              </w:rPr>
              <w:t>分</w:t>
            </w:r>
            <w:r>
              <w:rPr>
                <w:rFonts w:hint="eastAsia" w:ascii="宋体" w:hAnsi="宋体" w:cs="宋体"/>
                <w:color w:val="auto"/>
                <w:kern w:val="0"/>
                <w:sz w:val="21"/>
                <w:szCs w:val="21"/>
                <w:highlight w:val="none"/>
              </w:rPr>
              <w:t>。</w:t>
            </w:r>
          </w:p>
          <w:p w14:paraId="73804BBD">
            <w:pPr>
              <w:pStyle w:val="58"/>
              <w:spacing w:line="440" w:lineRule="atLeast"/>
              <w:ind w:firstLine="0"/>
              <w:rPr>
                <w:rFonts w:ascii="宋体" w:hAnsi="宋体" w:cs="宋体"/>
                <w:color w:val="auto"/>
                <w:kern w:val="0"/>
                <w:sz w:val="21"/>
                <w:szCs w:val="21"/>
                <w:highlight w:val="none"/>
              </w:rPr>
            </w:pPr>
            <w:r>
              <w:rPr>
                <w:rFonts w:hint="eastAsia" w:ascii="黑体" w:hAnsi="黑体" w:eastAsia="黑体" w:cs="黑体"/>
                <w:b/>
                <w:bCs/>
                <w:color w:val="auto"/>
                <w:sz w:val="21"/>
                <w:szCs w:val="21"/>
                <w:highlight w:val="none"/>
              </w:rPr>
              <w:t>注：提供采购合同复印件加盖投标供应商公章。业绩时间以合同签署日期为准，业绩类型以合同内容为准。如上述材料中无法反映出业绩类型的，投标供应商还需提供项目业绩建设单位或部门出具的证明材料原件，并加盖项目</w:t>
            </w:r>
            <w:bookmarkStart w:id="208" w:name="_Hlk128643331"/>
            <w:r>
              <w:rPr>
                <w:rFonts w:hint="eastAsia" w:ascii="黑体" w:hAnsi="黑体" w:eastAsia="黑体" w:cs="黑体"/>
                <w:b/>
                <w:bCs/>
                <w:color w:val="auto"/>
                <w:sz w:val="21"/>
                <w:szCs w:val="21"/>
                <w:highlight w:val="none"/>
              </w:rPr>
              <w:t>业绩建设单位公章</w:t>
            </w:r>
            <w:bookmarkEnd w:id="208"/>
            <w:r>
              <w:rPr>
                <w:rFonts w:hint="eastAsia" w:ascii="黑体" w:hAnsi="黑体" w:eastAsia="黑体" w:cs="黑体"/>
                <w:b/>
                <w:bCs/>
                <w:color w:val="auto"/>
                <w:sz w:val="21"/>
                <w:szCs w:val="21"/>
                <w:highlight w:val="none"/>
              </w:rPr>
              <w:t>或部门公章。</w:t>
            </w:r>
          </w:p>
        </w:tc>
      </w:tr>
    </w:tbl>
    <w:p w14:paraId="6D868F66">
      <w:pPr>
        <w:spacing w:line="440" w:lineRule="atLeast"/>
        <w:ind w:firstLine="420" w:firstLineChars="200"/>
        <w:jc w:val="left"/>
        <w:rPr>
          <w:rFonts w:ascii="宋体" w:hAnsi="宋体"/>
          <w:color w:val="auto"/>
          <w:szCs w:val="21"/>
          <w:highlight w:val="none"/>
        </w:rPr>
      </w:pPr>
      <w:r>
        <w:rPr>
          <w:rFonts w:hint="eastAsia" w:ascii="宋体" w:hAnsi="宋体"/>
          <w:color w:val="auto"/>
          <w:szCs w:val="21"/>
          <w:highlight w:val="none"/>
        </w:rPr>
        <w:t>6.2技术评审细则（6</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bl>
      <w:tblPr>
        <w:tblStyle w:val="2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25"/>
        <w:gridCol w:w="7863"/>
      </w:tblGrid>
      <w:tr w14:paraId="181C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noWrap w:val="0"/>
            <w:vAlign w:val="center"/>
          </w:tcPr>
          <w:p w14:paraId="2AE6E81A">
            <w:pPr>
              <w:spacing w:line="440" w:lineRule="exact"/>
              <w:jc w:val="center"/>
              <w:rPr>
                <w:rFonts w:ascii="黑体" w:hAnsi="黑体" w:eastAsia="黑体" w:cs="黑体"/>
                <w:b/>
                <w:bCs/>
                <w:color w:val="auto"/>
                <w:szCs w:val="21"/>
                <w:highlight w:val="none"/>
              </w:rPr>
            </w:pPr>
            <w:r>
              <w:rPr>
                <w:rFonts w:hint="eastAsia" w:ascii="黑体" w:hAnsi="黑体" w:eastAsia="黑体" w:cs="黑体"/>
                <w:b/>
                <w:bCs/>
                <w:color w:val="auto"/>
                <w:szCs w:val="21"/>
                <w:highlight w:val="none"/>
              </w:rPr>
              <w:t>序号</w:t>
            </w:r>
          </w:p>
        </w:tc>
        <w:tc>
          <w:tcPr>
            <w:tcW w:w="1325" w:type="dxa"/>
            <w:noWrap w:val="0"/>
            <w:vAlign w:val="center"/>
          </w:tcPr>
          <w:p w14:paraId="74B6EC5B">
            <w:pPr>
              <w:spacing w:line="440" w:lineRule="exact"/>
              <w:jc w:val="center"/>
              <w:rPr>
                <w:rFonts w:ascii="黑体" w:hAnsi="黑体" w:eastAsia="黑体" w:cs="黑体"/>
                <w:b/>
                <w:bCs/>
                <w:color w:val="auto"/>
                <w:szCs w:val="21"/>
                <w:highlight w:val="none"/>
              </w:rPr>
            </w:pPr>
            <w:r>
              <w:rPr>
                <w:rFonts w:hint="eastAsia" w:ascii="黑体" w:hAnsi="黑体" w:eastAsia="黑体" w:cs="黑体"/>
                <w:b/>
                <w:bCs/>
                <w:color w:val="auto"/>
                <w:szCs w:val="21"/>
                <w:highlight w:val="none"/>
              </w:rPr>
              <w:t>评分因素</w:t>
            </w:r>
          </w:p>
        </w:tc>
        <w:tc>
          <w:tcPr>
            <w:tcW w:w="7863" w:type="dxa"/>
            <w:noWrap w:val="0"/>
            <w:vAlign w:val="center"/>
          </w:tcPr>
          <w:p w14:paraId="24EC2961">
            <w:pPr>
              <w:spacing w:line="440" w:lineRule="exact"/>
              <w:jc w:val="center"/>
              <w:rPr>
                <w:rFonts w:ascii="黑体" w:hAnsi="黑体" w:eastAsia="黑体" w:cs="黑体"/>
                <w:b/>
                <w:bCs/>
                <w:color w:val="auto"/>
                <w:szCs w:val="21"/>
                <w:highlight w:val="none"/>
              </w:rPr>
            </w:pPr>
            <w:r>
              <w:rPr>
                <w:rFonts w:hint="eastAsia" w:ascii="黑体" w:hAnsi="黑体" w:eastAsia="黑体" w:cs="黑体"/>
                <w:b/>
                <w:bCs/>
                <w:color w:val="auto"/>
                <w:szCs w:val="21"/>
                <w:highlight w:val="none"/>
              </w:rPr>
              <w:t>评审细则</w:t>
            </w:r>
          </w:p>
        </w:tc>
      </w:tr>
      <w:tr w14:paraId="5FC2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2" w:type="dxa"/>
            <w:noWrap w:val="0"/>
            <w:vAlign w:val="center"/>
          </w:tcPr>
          <w:p w14:paraId="5941C64E">
            <w:pPr>
              <w:pStyle w:val="24"/>
              <w:spacing w:line="440" w:lineRule="exact"/>
              <w:jc w:val="center"/>
              <w:rPr>
                <w:rFonts w:hint="eastAsia"/>
                <w:color w:val="auto"/>
                <w:sz w:val="21"/>
                <w:szCs w:val="21"/>
                <w:highlight w:val="none"/>
              </w:rPr>
            </w:pPr>
            <w:r>
              <w:rPr>
                <w:rFonts w:hint="eastAsia"/>
                <w:color w:val="auto"/>
                <w:sz w:val="21"/>
                <w:szCs w:val="21"/>
                <w:highlight w:val="none"/>
              </w:rPr>
              <w:t>1</w:t>
            </w:r>
          </w:p>
        </w:tc>
        <w:tc>
          <w:tcPr>
            <w:tcW w:w="1325" w:type="dxa"/>
            <w:noWrap w:val="0"/>
            <w:vAlign w:val="center"/>
          </w:tcPr>
          <w:p w14:paraId="74508F7F">
            <w:pPr>
              <w:snapToGrid w:val="0"/>
              <w:spacing w:line="4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产品技术参数（</w:t>
            </w:r>
            <w:r>
              <w:rPr>
                <w:rFonts w:hint="eastAsia" w:ascii="宋体" w:hAnsi="宋体" w:cs="宋体"/>
                <w:bCs/>
                <w:color w:val="auto"/>
                <w:szCs w:val="21"/>
                <w:highlight w:val="none"/>
                <w:lang w:val="en-US" w:eastAsia="zh-CN"/>
              </w:rPr>
              <w:t>48</w:t>
            </w:r>
            <w:r>
              <w:rPr>
                <w:rFonts w:hint="eastAsia" w:ascii="宋体" w:hAnsi="宋体" w:cs="宋体"/>
                <w:bCs/>
                <w:color w:val="auto"/>
                <w:szCs w:val="21"/>
                <w:highlight w:val="none"/>
              </w:rPr>
              <w:t>分）</w:t>
            </w:r>
          </w:p>
        </w:tc>
        <w:tc>
          <w:tcPr>
            <w:tcW w:w="7863" w:type="dxa"/>
            <w:noWrap w:val="0"/>
            <w:vAlign w:val="center"/>
          </w:tcPr>
          <w:p w14:paraId="59C6857B">
            <w:pPr>
              <w:widowControl/>
              <w:spacing w:line="440" w:lineRule="exact"/>
              <w:jc w:val="left"/>
              <w:rPr>
                <w:rStyle w:val="47"/>
                <w:color w:val="auto"/>
                <w:szCs w:val="21"/>
                <w:highlight w:val="none"/>
              </w:rPr>
            </w:pPr>
            <w:r>
              <w:rPr>
                <w:rStyle w:val="47"/>
                <w:rFonts w:hint="eastAsia"/>
                <w:color w:val="auto"/>
                <w:szCs w:val="21"/>
                <w:highlight w:val="none"/>
              </w:rPr>
              <w:t>所投产品技术参数及要求响应情况根据投标供应商在投标文件中提供的所投产品技术参数及要求响应情况，由评标委员会进行评分：</w:t>
            </w:r>
          </w:p>
          <w:p w14:paraId="3246EB69">
            <w:pPr>
              <w:widowControl/>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1、完全满足优于招标文件技术参数要求的得</w:t>
            </w:r>
            <w:r>
              <w:rPr>
                <w:rStyle w:val="47"/>
                <w:rFonts w:hint="eastAsia" w:ascii="宋体" w:hAnsi="宋体" w:cs="宋体"/>
                <w:color w:val="auto"/>
                <w:szCs w:val="21"/>
                <w:highlight w:val="none"/>
                <w:lang w:val="en-US"/>
              </w:rPr>
              <w:t>48</w:t>
            </w:r>
            <w:r>
              <w:rPr>
                <w:rStyle w:val="47"/>
                <w:rFonts w:hint="eastAsia" w:ascii="宋体" w:hAnsi="宋体" w:cs="宋体"/>
                <w:color w:val="auto"/>
                <w:szCs w:val="21"/>
                <w:highlight w:val="none"/>
              </w:rPr>
              <w:t>分；</w:t>
            </w:r>
          </w:p>
          <w:p w14:paraId="6B360365">
            <w:pPr>
              <w:adjustRightInd w:val="0"/>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sym w:font="Wingdings 2" w:char="F0EA"/>
            </w:r>
            <w:r>
              <w:rPr>
                <w:rFonts w:hint="eastAsia" w:ascii="宋体" w:hAnsi="宋体"/>
                <w:color w:val="auto"/>
                <w:szCs w:val="21"/>
                <w:highlight w:val="none"/>
              </w:rPr>
              <w:t>代表重要指标，每满足一项得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分，共</w:t>
            </w:r>
            <w:r>
              <w:rPr>
                <w:rFonts w:hint="eastAsia" w:ascii="宋体" w:hAnsi="宋体"/>
                <w:color w:val="auto"/>
                <w:szCs w:val="21"/>
                <w:highlight w:val="none"/>
                <w:u w:val="single"/>
              </w:rPr>
              <w:t>11</w:t>
            </w:r>
            <w:r>
              <w:rPr>
                <w:rFonts w:hint="eastAsia" w:ascii="宋体" w:hAnsi="宋体"/>
                <w:color w:val="auto"/>
                <w:szCs w:val="21"/>
                <w:highlight w:val="none"/>
              </w:rPr>
              <w:t>项，共计</w:t>
            </w:r>
            <w:r>
              <w:rPr>
                <w:rFonts w:hint="eastAsia" w:ascii="宋体" w:hAnsi="宋体"/>
                <w:color w:val="auto"/>
                <w:szCs w:val="21"/>
                <w:highlight w:val="none"/>
                <w:u w:val="single"/>
                <w:lang w:val="en-US" w:eastAsia="zh-CN"/>
              </w:rPr>
              <w:t>33</w:t>
            </w:r>
            <w:r>
              <w:rPr>
                <w:rFonts w:hint="eastAsia" w:ascii="宋体" w:hAnsi="宋体"/>
                <w:color w:val="auto"/>
                <w:szCs w:val="21"/>
                <w:highlight w:val="none"/>
              </w:rPr>
              <w:t>分；</w:t>
            </w:r>
          </w:p>
          <w:p w14:paraId="5226F59C">
            <w:pPr>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w:t>
            </w:r>
            <w:r>
              <w:rPr>
                <w:rStyle w:val="47"/>
                <w:rFonts w:hint="eastAsia" w:ascii="宋体" w:hAnsi="宋体"/>
                <w:color w:val="auto"/>
                <w:sz w:val="24"/>
                <w:highlight w:val="none"/>
              </w:rPr>
              <w:t>■</w:t>
            </w:r>
            <w:r>
              <w:rPr>
                <w:rFonts w:hint="eastAsia" w:ascii="宋体" w:hAnsi="宋体"/>
                <w:color w:val="auto"/>
                <w:szCs w:val="21"/>
                <w:highlight w:val="none"/>
              </w:rPr>
              <w:t>代表一般指标项，每满足一项得</w:t>
            </w:r>
            <w:r>
              <w:rPr>
                <w:rFonts w:hint="eastAsia" w:ascii="宋体" w:hAnsi="宋体"/>
                <w:color w:val="auto"/>
                <w:szCs w:val="21"/>
                <w:highlight w:val="none"/>
                <w:u w:val="single"/>
              </w:rPr>
              <w:t>1</w:t>
            </w:r>
            <w:r>
              <w:rPr>
                <w:rFonts w:hint="eastAsia" w:ascii="宋体" w:hAnsi="宋体"/>
                <w:color w:val="auto"/>
                <w:szCs w:val="21"/>
                <w:highlight w:val="none"/>
              </w:rPr>
              <w:t>分，共</w:t>
            </w:r>
            <w:r>
              <w:rPr>
                <w:rFonts w:hint="eastAsia" w:ascii="宋体" w:hAnsi="宋体"/>
                <w:color w:val="auto"/>
                <w:szCs w:val="21"/>
                <w:highlight w:val="none"/>
                <w:u w:val="single"/>
              </w:rPr>
              <w:t>15</w:t>
            </w:r>
            <w:r>
              <w:rPr>
                <w:rFonts w:hint="eastAsia" w:ascii="宋体" w:hAnsi="宋体"/>
                <w:color w:val="auto"/>
                <w:szCs w:val="21"/>
                <w:highlight w:val="none"/>
              </w:rPr>
              <w:t>项，共计</w:t>
            </w:r>
            <w:r>
              <w:rPr>
                <w:rFonts w:hint="eastAsia" w:ascii="宋体" w:hAnsi="宋体"/>
                <w:color w:val="auto"/>
                <w:szCs w:val="21"/>
                <w:highlight w:val="none"/>
                <w:u w:val="single"/>
              </w:rPr>
              <w:t>15</w:t>
            </w:r>
            <w:r>
              <w:rPr>
                <w:rFonts w:hint="eastAsia" w:ascii="宋体" w:hAnsi="宋体"/>
                <w:color w:val="auto"/>
                <w:szCs w:val="21"/>
                <w:highlight w:val="none"/>
              </w:rPr>
              <w:t>分；</w:t>
            </w:r>
          </w:p>
          <w:p w14:paraId="03EBEA3F">
            <w:pPr>
              <w:spacing w:line="440" w:lineRule="exact"/>
              <w:rPr>
                <w:rFonts w:hint="eastAsia" w:ascii="宋体" w:hAnsi="宋体" w:cs="宋体"/>
                <w:color w:val="auto"/>
                <w:szCs w:val="21"/>
                <w:highlight w:val="none"/>
              </w:rPr>
            </w:pPr>
            <w:r>
              <w:rPr>
                <w:rFonts w:hint="eastAsia" w:ascii="宋体" w:hAnsi="宋体"/>
                <w:color w:val="auto"/>
                <w:szCs w:val="21"/>
                <w:highlight w:val="none"/>
              </w:rPr>
              <w:t>4、未标注符号的参数，最大允许偏离</w:t>
            </w:r>
            <w:r>
              <w:rPr>
                <w:rFonts w:hint="eastAsia" w:ascii="宋体" w:hAnsi="宋体"/>
                <w:color w:val="auto"/>
                <w:szCs w:val="21"/>
                <w:highlight w:val="none"/>
                <w:u w:val="single"/>
              </w:rPr>
              <w:t>5</w:t>
            </w:r>
            <w:r>
              <w:rPr>
                <w:rFonts w:hint="eastAsia" w:ascii="宋体" w:hAnsi="宋体"/>
                <w:color w:val="auto"/>
                <w:szCs w:val="21"/>
                <w:highlight w:val="none"/>
              </w:rPr>
              <w:t>项，超过最大允许偏离项数的，投标无效。</w:t>
            </w:r>
          </w:p>
          <w:p w14:paraId="2A8C209B">
            <w:pPr>
              <w:spacing w:line="440" w:lineRule="exact"/>
              <w:jc w:val="left"/>
              <w:rPr>
                <w:rFonts w:hint="eastAsia" w:ascii="宋体" w:hAnsi="宋体" w:cs="宋体"/>
                <w:bCs/>
                <w:color w:val="auto"/>
                <w:szCs w:val="21"/>
                <w:highlight w:val="none"/>
              </w:rPr>
            </w:pPr>
            <w:r>
              <w:rPr>
                <w:rFonts w:hint="eastAsia" w:ascii="宋体" w:hAnsi="宋体" w:cs="宋体"/>
                <w:b/>
                <w:bCs/>
                <w:color w:val="auto"/>
                <w:szCs w:val="21"/>
                <w:highlight w:val="none"/>
              </w:rPr>
              <w:t>注：以采购需求中要求提供的材料作为评审依据，不满足的、要求提供证明文件或承诺未提供的、配置不详的、技术参数不清或缺漏的，均视为负偏离。所有承诺函需加盖投标单位公章</w:t>
            </w:r>
            <w:r>
              <w:rPr>
                <w:rFonts w:hint="eastAsia" w:ascii="宋体" w:hAnsi="宋体" w:cs="宋体"/>
                <w:bCs/>
                <w:color w:val="auto"/>
                <w:szCs w:val="21"/>
                <w:highlight w:val="none"/>
              </w:rPr>
              <w:t>。</w:t>
            </w:r>
          </w:p>
        </w:tc>
      </w:tr>
      <w:tr w14:paraId="214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1F32A523">
            <w:pPr>
              <w:pStyle w:val="58"/>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325" w:type="dxa"/>
            <w:noWrap w:val="0"/>
            <w:vAlign w:val="center"/>
          </w:tcPr>
          <w:p w14:paraId="562915EC">
            <w:pPr>
              <w:snapToGrid w:val="0"/>
              <w:spacing w:line="440" w:lineRule="exact"/>
              <w:jc w:val="center"/>
              <w:rPr>
                <w:rFonts w:hint="eastAsia" w:ascii="宋体" w:hAnsi="宋体" w:cs="宋体"/>
                <w:bCs/>
                <w:color w:val="auto"/>
                <w:szCs w:val="21"/>
                <w:highlight w:val="none"/>
              </w:rPr>
            </w:pPr>
            <w:r>
              <w:rPr>
                <w:rStyle w:val="47"/>
                <w:rFonts w:hint="eastAsia" w:ascii="宋体" w:hAnsi="宋体" w:cs="宋体"/>
                <w:color w:val="auto"/>
                <w:szCs w:val="21"/>
                <w:highlight w:val="none"/>
              </w:rPr>
              <w:t>安装实施方案（</w:t>
            </w:r>
            <w:r>
              <w:rPr>
                <w:rStyle w:val="47"/>
                <w:rFonts w:hint="eastAsia" w:ascii="宋体" w:hAnsi="宋体" w:cs="宋体"/>
                <w:color w:val="auto"/>
                <w:szCs w:val="21"/>
                <w:highlight w:val="none"/>
                <w:lang w:val="en-US"/>
              </w:rPr>
              <w:t>4</w:t>
            </w:r>
            <w:r>
              <w:rPr>
                <w:rStyle w:val="47"/>
                <w:rFonts w:hint="eastAsia" w:ascii="宋体" w:hAnsi="宋体" w:cs="宋体"/>
                <w:color w:val="auto"/>
                <w:szCs w:val="21"/>
                <w:highlight w:val="none"/>
              </w:rPr>
              <w:t>分）</w:t>
            </w:r>
          </w:p>
        </w:tc>
        <w:tc>
          <w:tcPr>
            <w:tcW w:w="7863" w:type="dxa"/>
            <w:noWrap w:val="0"/>
            <w:vAlign w:val="center"/>
          </w:tcPr>
          <w:p w14:paraId="61854A78">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安排技术能力强且经验丰富的人员进行安装实施，承诺按要求安装完整有具体详实的安装计划得</w:t>
            </w:r>
            <w:r>
              <w:rPr>
                <w:rStyle w:val="47"/>
                <w:rFonts w:hint="eastAsia" w:ascii="宋体" w:hAnsi="宋体" w:cs="宋体"/>
                <w:color w:val="auto"/>
                <w:szCs w:val="21"/>
                <w:highlight w:val="none"/>
                <w:lang w:val="en-US"/>
              </w:rPr>
              <w:t>4</w:t>
            </w:r>
            <w:r>
              <w:rPr>
                <w:rStyle w:val="47"/>
                <w:rFonts w:hint="eastAsia" w:ascii="宋体" w:hAnsi="宋体" w:cs="宋体"/>
                <w:color w:val="auto"/>
                <w:szCs w:val="21"/>
                <w:highlight w:val="none"/>
              </w:rPr>
              <w:t>分；</w:t>
            </w:r>
          </w:p>
          <w:p w14:paraId="4284E05D">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安排技术人员进行安装实施，承诺按要求安装完整，有基本可行的安装计划得</w:t>
            </w:r>
            <w:r>
              <w:rPr>
                <w:rStyle w:val="47"/>
                <w:rFonts w:hint="eastAsia" w:ascii="宋体" w:hAnsi="宋体" w:cs="宋体"/>
                <w:color w:val="auto"/>
                <w:szCs w:val="21"/>
                <w:highlight w:val="none"/>
                <w:lang w:val="en-US"/>
              </w:rPr>
              <w:t>3</w:t>
            </w:r>
            <w:r>
              <w:rPr>
                <w:rStyle w:val="47"/>
                <w:rFonts w:hint="eastAsia" w:ascii="宋体" w:hAnsi="宋体" w:cs="宋体"/>
                <w:color w:val="auto"/>
                <w:szCs w:val="21"/>
                <w:highlight w:val="none"/>
              </w:rPr>
              <w:t>分；</w:t>
            </w:r>
          </w:p>
          <w:p w14:paraId="4A5CA7F1">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安排人员安装，承诺按要求安装完整，有安装实施计划得</w:t>
            </w:r>
            <w:r>
              <w:rPr>
                <w:rStyle w:val="47"/>
                <w:rFonts w:hint="eastAsia" w:ascii="宋体" w:hAnsi="宋体" w:cs="宋体"/>
                <w:color w:val="auto"/>
                <w:szCs w:val="21"/>
                <w:highlight w:val="none"/>
                <w:lang w:val="en-US"/>
              </w:rPr>
              <w:t>2</w:t>
            </w:r>
            <w:r>
              <w:rPr>
                <w:rStyle w:val="47"/>
                <w:rFonts w:hint="eastAsia" w:ascii="宋体" w:hAnsi="宋体" w:cs="宋体"/>
                <w:color w:val="auto"/>
                <w:szCs w:val="21"/>
                <w:highlight w:val="none"/>
              </w:rPr>
              <w:t>分；</w:t>
            </w:r>
          </w:p>
          <w:p w14:paraId="6DB062F4">
            <w:pPr>
              <w:snapToGrid w:val="0"/>
              <w:spacing w:line="440" w:lineRule="exact"/>
              <w:jc w:val="left"/>
              <w:rPr>
                <w:rFonts w:hint="eastAsia" w:ascii="宋体" w:hAnsi="宋体" w:cs="宋体"/>
                <w:bCs/>
                <w:color w:val="auto"/>
                <w:szCs w:val="21"/>
                <w:highlight w:val="none"/>
              </w:rPr>
            </w:pPr>
            <w:r>
              <w:rPr>
                <w:rStyle w:val="47"/>
                <w:rFonts w:hint="eastAsia" w:ascii="宋体" w:hAnsi="宋体" w:cs="宋体"/>
                <w:color w:val="auto"/>
                <w:szCs w:val="21"/>
                <w:highlight w:val="none"/>
              </w:rPr>
              <w:t>未提供不得分。</w:t>
            </w:r>
          </w:p>
        </w:tc>
      </w:tr>
      <w:tr w14:paraId="7D66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11605C75">
            <w:pPr>
              <w:pStyle w:val="58"/>
              <w:spacing w:line="440" w:lineRule="exact"/>
              <w:ind w:firstLine="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25" w:type="dxa"/>
            <w:noWrap w:val="0"/>
            <w:vAlign w:val="center"/>
          </w:tcPr>
          <w:p w14:paraId="4D57E6DE">
            <w:pPr>
              <w:snapToGrid w:val="0"/>
              <w:spacing w:line="440" w:lineRule="exact"/>
              <w:jc w:val="center"/>
              <w:rPr>
                <w:rStyle w:val="47"/>
                <w:rFonts w:hint="eastAsia" w:ascii="宋体" w:hAnsi="宋体" w:cs="宋体"/>
                <w:color w:val="auto"/>
                <w:szCs w:val="21"/>
                <w:highlight w:val="none"/>
              </w:rPr>
            </w:pPr>
            <w:r>
              <w:rPr>
                <w:rStyle w:val="47"/>
                <w:rFonts w:hint="eastAsia" w:ascii="宋体" w:hAnsi="宋体" w:cs="宋体"/>
                <w:color w:val="auto"/>
                <w:szCs w:val="21"/>
                <w:highlight w:val="none"/>
              </w:rPr>
              <w:t>技术方案</w:t>
            </w:r>
          </w:p>
          <w:p w14:paraId="515B0192">
            <w:pPr>
              <w:snapToGrid w:val="0"/>
              <w:spacing w:line="440" w:lineRule="exact"/>
              <w:jc w:val="center"/>
              <w:rPr>
                <w:rFonts w:hint="eastAsia" w:ascii="宋体" w:hAnsi="宋体" w:cs="宋体"/>
                <w:bCs/>
                <w:color w:val="auto"/>
                <w:szCs w:val="21"/>
                <w:highlight w:val="none"/>
              </w:rPr>
            </w:pPr>
            <w:r>
              <w:rPr>
                <w:rStyle w:val="47"/>
                <w:rFonts w:hint="eastAsia" w:ascii="宋体" w:hAnsi="宋体" w:cs="宋体"/>
                <w:color w:val="auto"/>
                <w:szCs w:val="21"/>
                <w:highlight w:val="none"/>
              </w:rPr>
              <w:t>（</w:t>
            </w:r>
            <w:r>
              <w:rPr>
                <w:rStyle w:val="47"/>
                <w:rFonts w:hint="eastAsia" w:ascii="宋体" w:hAnsi="宋体" w:cs="宋体"/>
                <w:color w:val="auto"/>
                <w:szCs w:val="21"/>
                <w:highlight w:val="none"/>
                <w:lang w:val="en-US"/>
              </w:rPr>
              <w:t>3</w:t>
            </w:r>
            <w:r>
              <w:rPr>
                <w:rStyle w:val="47"/>
                <w:rFonts w:hint="eastAsia" w:ascii="宋体" w:hAnsi="宋体" w:cs="宋体"/>
                <w:color w:val="auto"/>
                <w:szCs w:val="21"/>
                <w:highlight w:val="none"/>
              </w:rPr>
              <w:t>分）</w:t>
            </w:r>
          </w:p>
        </w:tc>
        <w:tc>
          <w:tcPr>
            <w:tcW w:w="7863" w:type="dxa"/>
            <w:noWrap w:val="0"/>
            <w:vAlign w:val="center"/>
          </w:tcPr>
          <w:p w14:paraId="1E988C86">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所供产品有自己的技术优势，有具体详实的技术方案（包含对自己产品的介绍，相对于其他产品在硬件、软件、设计原理、系统功能等方面的优势等）得</w:t>
            </w:r>
            <w:r>
              <w:rPr>
                <w:rStyle w:val="47"/>
                <w:rFonts w:hint="eastAsia" w:ascii="宋体" w:hAnsi="宋体" w:cs="宋体"/>
                <w:color w:val="auto"/>
                <w:szCs w:val="21"/>
                <w:highlight w:val="none"/>
                <w:lang w:val="en-US"/>
              </w:rPr>
              <w:t>3</w:t>
            </w:r>
            <w:r>
              <w:rPr>
                <w:rStyle w:val="47"/>
                <w:rFonts w:hint="eastAsia" w:ascii="宋体" w:hAnsi="宋体" w:cs="宋体"/>
                <w:color w:val="auto"/>
                <w:szCs w:val="21"/>
                <w:highlight w:val="none"/>
              </w:rPr>
              <w:t>分；</w:t>
            </w:r>
          </w:p>
          <w:p w14:paraId="3FC3FD74">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所供产品技术优势不明显，能够基本满足采购需求，有详细的技术方案得</w:t>
            </w:r>
            <w:r>
              <w:rPr>
                <w:rStyle w:val="47"/>
                <w:rFonts w:hint="eastAsia" w:ascii="宋体" w:hAnsi="宋体" w:cs="宋体"/>
                <w:color w:val="auto"/>
                <w:szCs w:val="21"/>
                <w:highlight w:val="none"/>
                <w:lang w:val="en-US"/>
              </w:rPr>
              <w:t>2</w:t>
            </w:r>
            <w:r>
              <w:rPr>
                <w:rStyle w:val="47"/>
                <w:rFonts w:hint="eastAsia" w:ascii="宋体" w:hAnsi="宋体" w:cs="宋体"/>
                <w:color w:val="auto"/>
                <w:szCs w:val="21"/>
                <w:highlight w:val="none"/>
              </w:rPr>
              <w:t>分；</w:t>
            </w:r>
          </w:p>
          <w:p w14:paraId="18DCD82D">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所供产品无技术优势，能够基本满足采购需求，有技术方案得</w:t>
            </w:r>
            <w:r>
              <w:rPr>
                <w:rStyle w:val="47"/>
                <w:rFonts w:hint="eastAsia" w:ascii="宋体" w:hAnsi="宋体" w:cs="宋体"/>
                <w:color w:val="auto"/>
                <w:szCs w:val="21"/>
                <w:highlight w:val="none"/>
                <w:lang w:val="en-US"/>
              </w:rPr>
              <w:t>1</w:t>
            </w:r>
            <w:r>
              <w:rPr>
                <w:rStyle w:val="47"/>
                <w:rFonts w:hint="eastAsia" w:ascii="宋体" w:hAnsi="宋体" w:cs="宋体"/>
                <w:color w:val="auto"/>
                <w:szCs w:val="21"/>
                <w:highlight w:val="none"/>
              </w:rPr>
              <w:t>分；</w:t>
            </w:r>
          </w:p>
          <w:p w14:paraId="23F61B9E">
            <w:pPr>
              <w:snapToGrid w:val="0"/>
              <w:spacing w:line="440" w:lineRule="exact"/>
              <w:jc w:val="left"/>
              <w:rPr>
                <w:rFonts w:hint="eastAsia" w:ascii="宋体" w:hAnsi="宋体" w:cs="宋体"/>
                <w:bCs/>
                <w:color w:val="auto"/>
                <w:szCs w:val="21"/>
                <w:highlight w:val="none"/>
              </w:rPr>
            </w:pPr>
            <w:r>
              <w:rPr>
                <w:rStyle w:val="47"/>
                <w:rFonts w:hint="eastAsia" w:ascii="宋体" w:hAnsi="宋体" w:cs="宋体"/>
                <w:color w:val="auto"/>
                <w:szCs w:val="21"/>
                <w:highlight w:val="none"/>
              </w:rPr>
              <w:t>未提供不得分。</w:t>
            </w:r>
          </w:p>
        </w:tc>
      </w:tr>
      <w:tr w14:paraId="0C55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429EC2E7">
            <w:pPr>
              <w:pStyle w:val="58"/>
              <w:spacing w:line="440" w:lineRule="exact"/>
              <w:ind w:firstLine="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25" w:type="dxa"/>
            <w:noWrap w:val="0"/>
            <w:vAlign w:val="center"/>
          </w:tcPr>
          <w:p w14:paraId="3B6C33CB">
            <w:pPr>
              <w:snapToGrid w:val="0"/>
              <w:spacing w:line="440" w:lineRule="exact"/>
              <w:jc w:val="center"/>
              <w:rPr>
                <w:rFonts w:hint="eastAsia" w:ascii="宋体" w:hAnsi="宋体" w:cs="宋体"/>
                <w:bCs/>
                <w:color w:val="auto"/>
                <w:szCs w:val="21"/>
                <w:highlight w:val="none"/>
              </w:rPr>
            </w:pPr>
            <w:r>
              <w:rPr>
                <w:rStyle w:val="47"/>
                <w:rFonts w:hint="eastAsia" w:ascii="宋体" w:hAnsi="宋体" w:cs="宋体"/>
                <w:color w:val="auto"/>
                <w:szCs w:val="21"/>
                <w:highlight w:val="none"/>
              </w:rPr>
              <w:t>数据安全方案（</w:t>
            </w:r>
            <w:r>
              <w:rPr>
                <w:rStyle w:val="47"/>
                <w:rFonts w:hint="eastAsia" w:ascii="宋体" w:hAnsi="宋体" w:cs="宋体"/>
                <w:color w:val="auto"/>
                <w:szCs w:val="21"/>
                <w:highlight w:val="none"/>
                <w:lang w:val="en-US"/>
              </w:rPr>
              <w:t>4</w:t>
            </w:r>
            <w:r>
              <w:rPr>
                <w:rStyle w:val="47"/>
                <w:rFonts w:hint="eastAsia" w:ascii="宋体" w:hAnsi="宋体" w:cs="宋体"/>
                <w:color w:val="auto"/>
                <w:szCs w:val="21"/>
                <w:highlight w:val="none"/>
              </w:rPr>
              <w:t>分）</w:t>
            </w:r>
          </w:p>
        </w:tc>
        <w:tc>
          <w:tcPr>
            <w:tcW w:w="7863" w:type="dxa"/>
            <w:noWrap w:val="0"/>
            <w:vAlign w:val="center"/>
          </w:tcPr>
          <w:p w14:paraId="18EDE71C">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所提供数据安全方案具有合理性、先进性、前瞻性，优秀得</w:t>
            </w:r>
            <w:r>
              <w:rPr>
                <w:rStyle w:val="47"/>
                <w:rFonts w:hint="eastAsia" w:ascii="宋体" w:hAnsi="宋体" w:cs="宋体"/>
                <w:color w:val="auto"/>
                <w:szCs w:val="21"/>
                <w:highlight w:val="none"/>
                <w:lang w:val="en-US"/>
              </w:rPr>
              <w:t>4</w:t>
            </w:r>
            <w:r>
              <w:rPr>
                <w:rStyle w:val="47"/>
                <w:rFonts w:hint="eastAsia" w:ascii="宋体" w:hAnsi="宋体" w:cs="宋体"/>
                <w:color w:val="auto"/>
                <w:szCs w:val="21"/>
                <w:highlight w:val="none"/>
              </w:rPr>
              <w:t>分；</w:t>
            </w:r>
          </w:p>
          <w:p w14:paraId="259EFE6C">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所提数据安全方案合理性、先进性、前瞻性不明显，方案良好得</w:t>
            </w:r>
            <w:r>
              <w:rPr>
                <w:rStyle w:val="47"/>
                <w:rFonts w:hint="eastAsia" w:ascii="宋体" w:hAnsi="宋体" w:cs="宋体"/>
                <w:color w:val="auto"/>
                <w:szCs w:val="21"/>
                <w:highlight w:val="none"/>
                <w:lang w:val="en-US"/>
              </w:rPr>
              <w:t>3</w:t>
            </w:r>
            <w:r>
              <w:rPr>
                <w:rStyle w:val="47"/>
                <w:rFonts w:hint="eastAsia" w:ascii="宋体" w:hAnsi="宋体" w:cs="宋体"/>
                <w:color w:val="auto"/>
                <w:szCs w:val="21"/>
                <w:highlight w:val="none"/>
              </w:rPr>
              <w:t>分；</w:t>
            </w:r>
          </w:p>
          <w:p w14:paraId="102C83C7">
            <w:pPr>
              <w:snapToGrid w:val="0"/>
              <w:spacing w:line="440" w:lineRule="exact"/>
              <w:jc w:val="left"/>
              <w:rPr>
                <w:rStyle w:val="47"/>
                <w:rFonts w:hint="eastAsia" w:ascii="宋体" w:hAnsi="宋体" w:cs="宋体"/>
                <w:color w:val="auto"/>
                <w:szCs w:val="21"/>
                <w:highlight w:val="none"/>
              </w:rPr>
            </w:pPr>
            <w:r>
              <w:rPr>
                <w:rStyle w:val="47"/>
                <w:rFonts w:hint="eastAsia" w:ascii="宋体" w:hAnsi="宋体" w:cs="宋体"/>
                <w:color w:val="auto"/>
                <w:szCs w:val="21"/>
                <w:highlight w:val="none"/>
              </w:rPr>
              <w:t>所提供数据安全方案一般得</w:t>
            </w:r>
            <w:r>
              <w:rPr>
                <w:rStyle w:val="47"/>
                <w:rFonts w:hint="eastAsia" w:ascii="宋体" w:hAnsi="宋体" w:cs="宋体"/>
                <w:color w:val="auto"/>
                <w:szCs w:val="21"/>
                <w:highlight w:val="none"/>
                <w:lang w:val="en-US"/>
              </w:rPr>
              <w:t>2</w:t>
            </w:r>
            <w:r>
              <w:rPr>
                <w:rStyle w:val="47"/>
                <w:rFonts w:hint="eastAsia" w:ascii="宋体" w:hAnsi="宋体" w:cs="宋体"/>
                <w:color w:val="auto"/>
                <w:szCs w:val="21"/>
                <w:highlight w:val="none"/>
              </w:rPr>
              <w:t>分；</w:t>
            </w:r>
          </w:p>
          <w:p w14:paraId="5AD9657F">
            <w:pPr>
              <w:snapToGrid w:val="0"/>
              <w:spacing w:line="440" w:lineRule="exact"/>
              <w:jc w:val="left"/>
              <w:rPr>
                <w:rFonts w:hint="eastAsia" w:ascii="宋体" w:hAnsi="宋体" w:cs="宋体"/>
                <w:bCs/>
                <w:color w:val="auto"/>
                <w:szCs w:val="21"/>
                <w:highlight w:val="none"/>
              </w:rPr>
            </w:pPr>
            <w:r>
              <w:rPr>
                <w:rStyle w:val="47"/>
                <w:rFonts w:hint="eastAsia" w:ascii="宋体" w:hAnsi="宋体" w:cs="宋体"/>
                <w:color w:val="auto"/>
                <w:szCs w:val="21"/>
                <w:highlight w:val="none"/>
              </w:rPr>
              <w:t>未提供不得分。</w:t>
            </w:r>
          </w:p>
        </w:tc>
      </w:tr>
      <w:tr w14:paraId="6BFB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3826A0FB">
            <w:pPr>
              <w:pStyle w:val="58"/>
              <w:spacing w:line="440" w:lineRule="exact"/>
              <w:ind w:firstLine="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25" w:type="dxa"/>
            <w:noWrap w:val="0"/>
            <w:vAlign w:val="center"/>
          </w:tcPr>
          <w:p w14:paraId="5831B54D">
            <w:pPr>
              <w:snapToGrid w:val="0"/>
              <w:spacing w:line="440" w:lineRule="exact"/>
              <w:jc w:val="center"/>
              <w:rPr>
                <w:rStyle w:val="47"/>
                <w:rFonts w:hint="eastAsia" w:ascii="宋体" w:hAnsi="宋体" w:cs="宋体"/>
                <w:color w:val="auto"/>
                <w:szCs w:val="21"/>
                <w:highlight w:val="none"/>
              </w:rPr>
            </w:pPr>
            <w:r>
              <w:rPr>
                <w:rStyle w:val="47"/>
                <w:rFonts w:hint="eastAsia" w:ascii="宋体" w:hAnsi="宋体" w:cs="宋体"/>
                <w:color w:val="auto"/>
                <w:szCs w:val="21"/>
                <w:highlight w:val="none"/>
              </w:rPr>
              <w:t>数据迁移方案（</w:t>
            </w:r>
            <w:r>
              <w:rPr>
                <w:rStyle w:val="47"/>
                <w:rFonts w:hint="eastAsia" w:ascii="宋体" w:hAnsi="宋体" w:cs="宋体"/>
                <w:color w:val="auto"/>
                <w:szCs w:val="21"/>
                <w:highlight w:val="none"/>
                <w:lang w:val="en-US"/>
              </w:rPr>
              <w:t>4</w:t>
            </w:r>
            <w:r>
              <w:rPr>
                <w:rStyle w:val="47"/>
                <w:rFonts w:hint="eastAsia" w:ascii="宋体" w:hAnsi="宋体" w:cs="宋体"/>
                <w:color w:val="auto"/>
                <w:szCs w:val="21"/>
                <w:highlight w:val="none"/>
              </w:rPr>
              <w:t>分）</w:t>
            </w:r>
          </w:p>
        </w:tc>
        <w:tc>
          <w:tcPr>
            <w:tcW w:w="7863" w:type="dxa"/>
            <w:noWrap w:val="0"/>
            <w:vAlign w:val="center"/>
          </w:tcPr>
          <w:p w14:paraId="174BEB85">
            <w:pPr>
              <w:snapToGrid w:val="0"/>
              <w:spacing w:line="440" w:lineRule="exact"/>
              <w:jc w:val="left"/>
              <w:rPr>
                <w:rFonts w:hint="eastAsia" w:ascii="宋体" w:hAnsi="宋体"/>
                <w:color w:val="auto"/>
                <w:kern w:val="0"/>
                <w:highlight w:val="none"/>
                <w:lang w:bidi="zh-CN"/>
              </w:rPr>
            </w:pPr>
            <w:r>
              <w:rPr>
                <w:rFonts w:hint="eastAsia" w:ascii="宋体" w:hAnsi="宋体"/>
                <w:color w:val="auto"/>
                <w:kern w:val="0"/>
                <w:highlight w:val="none"/>
                <w:lang w:bidi="zh-CN"/>
              </w:rPr>
              <w:t>提供桌面版的迁移工具能够将历史数据</w:t>
            </w:r>
            <w:r>
              <w:rPr>
                <w:rFonts w:hint="eastAsia" w:ascii="宋体" w:hAnsi="宋体"/>
                <w:color w:val="auto"/>
                <w:kern w:val="0"/>
                <w:highlight w:val="none"/>
                <w:lang w:bidi="zh-CN"/>
              </w:rPr>
              <w:t>从学校现有系统中</w:t>
            </w:r>
            <w:r>
              <w:rPr>
                <w:rFonts w:hint="eastAsia" w:ascii="宋体" w:hAnsi="宋体"/>
                <w:color w:val="auto"/>
                <w:kern w:val="0"/>
                <w:highlight w:val="none"/>
                <w:lang w:bidi="zh-CN"/>
              </w:rPr>
              <w:t>完整无误地迁移到新档案管理系统中，具有详实的方案及相关数据迁移结果一致性证明（包括历史档案数据、电子附件、用户账号、模版等）得</w:t>
            </w:r>
            <w:r>
              <w:rPr>
                <w:rFonts w:hint="eastAsia" w:ascii="宋体" w:hAnsi="宋体"/>
                <w:color w:val="auto"/>
                <w:kern w:val="0"/>
                <w:highlight w:val="none"/>
                <w:lang w:val="en-US" w:bidi="zh-CN"/>
              </w:rPr>
              <w:t>4</w:t>
            </w:r>
            <w:r>
              <w:rPr>
                <w:rFonts w:hint="eastAsia" w:ascii="宋体" w:hAnsi="宋体"/>
                <w:color w:val="auto"/>
                <w:kern w:val="0"/>
                <w:highlight w:val="none"/>
                <w:lang w:bidi="zh-CN"/>
              </w:rPr>
              <w:t>分；</w:t>
            </w:r>
          </w:p>
          <w:p w14:paraId="3A3EC39B">
            <w:pPr>
              <w:snapToGrid w:val="0"/>
              <w:spacing w:line="440" w:lineRule="exact"/>
              <w:jc w:val="left"/>
              <w:rPr>
                <w:rFonts w:hint="eastAsia" w:ascii="宋体" w:hAnsi="宋体"/>
                <w:color w:val="auto"/>
                <w:kern w:val="0"/>
                <w:highlight w:val="none"/>
                <w:lang w:bidi="zh-CN"/>
              </w:rPr>
            </w:pPr>
            <w:r>
              <w:rPr>
                <w:rFonts w:hint="eastAsia" w:ascii="宋体" w:hAnsi="宋体"/>
                <w:color w:val="auto"/>
                <w:kern w:val="0"/>
                <w:highlight w:val="none"/>
                <w:lang w:bidi="zh-CN"/>
              </w:rPr>
              <w:t>方案较科学，具有可执行性得</w:t>
            </w:r>
            <w:r>
              <w:rPr>
                <w:rFonts w:hint="eastAsia" w:ascii="宋体" w:hAnsi="宋体"/>
                <w:color w:val="auto"/>
                <w:kern w:val="0"/>
                <w:highlight w:val="none"/>
                <w:lang w:val="en-US" w:bidi="zh-CN"/>
              </w:rPr>
              <w:t>3</w:t>
            </w:r>
            <w:r>
              <w:rPr>
                <w:rFonts w:hint="eastAsia" w:ascii="宋体" w:hAnsi="宋体"/>
                <w:color w:val="auto"/>
                <w:kern w:val="0"/>
                <w:highlight w:val="none"/>
                <w:lang w:bidi="zh-CN"/>
              </w:rPr>
              <w:t>分；</w:t>
            </w:r>
          </w:p>
          <w:p w14:paraId="194CECD6">
            <w:pPr>
              <w:snapToGrid w:val="0"/>
              <w:spacing w:line="440" w:lineRule="exact"/>
              <w:jc w:val="left"/>
              <w:rPr>
                <w:rFonts w:hint="eastAsia" w:ascii="宋体" w:hAnsi="宋体"/>
                <w:color w:val="auto"/>
                <w:kern w:val="0"/>
                <w:highlight w:val="none"/>
                <w:lang w:bidi="zh-CN"/>
              </w:rPr>
            </w:pPr>
            <w:r>
              <w:rPr>
                <w:rFonts w:hint="eastAsia" w:ascii="宋体" w:hAnsi="宋体"/>
                <w:color w:val="auto"/>
                <w:kern w:val="0"/>
                <w:highlight w:val="none"/>
                <w:lang w:bidi="zh-CN"/>
              </w:rPr>
              <w:t>方案基本可行，部分存在不足的得</w:t>
            </w:r>
            <w:r>
              <w:rPr>
                <w:rFonts w:hint="eastAsia" w:ascii="宋体" w:hAnsi="宋体"/>
                <w:color w:val="auto"/>
                <w:kern w:val="0"/>
                <w:highlight w:val="none"/>
                <w:lang w:val="en-US" w:bidi="zh-CN"/>
              </w:rPr>
              <w:t>2</w:t>
            </w:r>
            <w:r>
              <w:rPr>
                <w:rFonts w:hint="eastAsia" w:ascii="宋体" w:hAnsi="宋体"/>
                <w:color w:val="auto"/>
                <w:kern w:val="0"/>
                <w:highlight w:val="none"/>
                <w:lang w:bidi="zh-CN"/>
              </w:rPr>
              <w:t>分；</w:t>
            </w:r>
          </w:p>
          <w:p w14:paraId="1CC5A5E1">
            <w:pPr>
              <w:snapToGrid w:val="0"/>
              <w:spacing w:line="440" w:lineRule="exact"/>
              <w:jc w:val="left"/>
              <w:rPr>
                <w:rStyle w:val="47"/>
                <w:rFonts w:hint="eastAsia" w:ascii="宋体" w:hAnsi="宋体" w:cs="宋体"/>
                <w:color w:val="auto"/>
                <w:szCs w:val="21"/>
                <w:highlight w:val="none"/>
              </w:rPr>
            </w:pPr>
            <w:r>
              <w:rPr>
                <w:rFonts w:hint="eastAsia" w:ascii="宋体" w:hAnsi="宋体"/>
                <w:color w:val="auto"/>
                <w:kern w:val="0"/>
                <w:highlight w:val="none"/>
                <w:lang w:bidi="zh-CN"/>
              </w:rPr>
              <w:t>未提供不得分。</w:t>
            </w:r>
          </w:p>
        </w:tc>
      </w:tr>
      <w:tr w14:paraId="72DD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1BA7C004">
            <w:pPr>
              <w:pStyle w:val="58"/>
              <w:spacing w:line="440" w:lineRule="exact"/>
              <w:ind w:firstLine="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325" w:type="dxa"/>
            <w:noWrap w:val="0"/>
            <w:vAlign w:val="center"/>
          </w:tcPr>
          <w:p w14:paraId="03B21705">
            <w:pPr>
              <w:snapToGrid w:val="0"/>
              <w:spacing w:line="440" w:lineRule="exact"/>
              <w:jc w:val="center"/>
              <w:rPr>
                <w:rFonts w:hint="eastAsia" w:ascii="宋体" w:hAnsi="宋体" w:cs="宋体"/>
                <w:color w:val="auto"/>
                <w:szCs w:val="21"/>
                <w:highlight w:val="none"/>
                <w:lang w:val="zh-CN"/>
              </w:rPr>
            </w:pPr>
            <w:r>
              <w:rPr>
                <w:rStyle w:val="47"/>
                <w:rFonts w:hint="eastAsia" w:ascii="宋体" w:hAnsi="宋体" w:cs="宋体"/>
                <w:color w:val="auto"/>
                <w:szCs w:val="21"/>
                <w:highlight w:val="none"/>
              </w:rPr>
              <w:t>售后服务承诺（</w:t>
            </w:r>
            <w:r>
              <w:rPr>
                <w:rStyle w:val="47"/>
                <w:rFonts w:hint="eastAsia" w:ascii="宋体" w:hAnsi="宋体" w:cs="宋体"/>
                <w:color w:val="auto"/>
                <w:szCs w:val="21"/>
                <w:highlight w:val="none"/>
                <w:lang w:val="en-US"/>
              </w:rPr>
              <w:t>3</w:t>
            </w:r>
            <w:r>
              <w:rPr>
                <w:rStyle w:val="47"/>
                <w:rFonts w:hint="eastAsia" w:ascii="宋体" w:hAnsi="宋体" w:cs="宋体"/>
                <w:color w:val="auto"/>
                <w:szCs w:val="21"/>
                <w:highlight w:val="none"/>
              </w:rPr>
              <w:t>分）</w:t>
            </w:r>
          </w:p>
        </w:tc>
        <w:tc>
          <w:tcPr>
            <w:tcW w:w="7863" w:type="dxa"/>
            <w:noWrap w:val="0"/>
            <w:vAlign w:val="center"/>
          </w:tcPr>
          <w:p w14:paraId="043CB7CE">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用户培训计划响应方案、具体措施，方案内容应详实、科学合理，售后服务响应时间，售后服务人员配备充足，能满足项目后期的维保需要。</w:t>
            </w:r>
          </w:p>
          <w:p w14:paraId="7CB2957B">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方案周密、科学、详尽、合理、可实施性强、响应及处理时间快，保障措施充分的得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2FE1EE55">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方案较周密、较科学、较合理、可实施性较强、响应及处理时间及时，保障措施基本满足项目要求的得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69F5D860">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方案基本可行，部分存在不足的得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033D1082">
            <w:pPr>
              <w:snapToGrid w:val="0"/>
              <w:spacing w:line="440" w:lineRule="exact"/>
              <w:jc w:val="left"/>
              <w:rPr>
                <w:rFonts w:hint="eastAsia" w:ascii="宋体" w:hAnsi="宋体" w:cs="宋体"/>
                <w:bCs/>
                <w:color w:val="auto"/>
                <w:szCs w:val="21"/>
                <w:highlight w:val="none"/>
              </w:rPr>
            </w:pPr>
            <w:r>
              <w:rPr>
                <w:rFonts w:hint="eastAsia" w:ascii="宋体" w:hAnsi="宋体"/>
                <w:color w:val="auto"/>
                <w:szCs w:val="21"/>
                <w:highlight w:val="none"/>
              </w:rPr>
              <w:t>方案不能满足项目实施要求或未提供</w:t>
            </w:r>
            <w:r>
              <w:rPr>
                <w:rFonts w:hint="eastAsia" w:ascii="宋体" w:hAnsi="宋体"/>
                <w:color w:val="auto"/>
                <w:kern w:val="0"/>
                <w:szCs w:val="21"/>
                <w:highlight w:val="none"/>
                <w:lang w:bidi="zh-CN"/>
              </w:rPr>
              <w:t>的不得分</w:t>
            </w:r>
            <w:r>
              <w:rPr>
                <w:rStyle w:val="47"/>
                <w:rFonts w:hint="eastAsia" w:ascii="宋体" w:hAnsi="宋体" w:cs="宋体"/>
                <w:color w:val="auto"/>
                <w:szCs w:val="21"/>
                <w:highlight w:val="none"/>
              </w:rPr>
              <w:t>。</w:t>
            </w:r>
          </w:p>
        </w:tc>
      </w:tr>
    </w:tbl>
    <w:p w14:paraId="539B1134">
      <w:pPr>
        <w:spacing w:line="44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注：该项由专家评委评审打分，以专家评委评分的算术平均值作为投标供应商的技术最终得分。评分过程中，数据的计算过程和计算结果均保留两位小数点，第三位四舍五入。</w:t>
      </w:r>
    </w:p>
    <w:p w14:paraId="7F4F9EEE">
      <w:pPr>
        <w:pStyle w:val="24"/>
        <w:keepNext/>
        <w:widowControl w:val="0"/>
        <w:snapToGrid w:val="0"/>
        <w:spacing w:line="440" w:lineRule="atLeast"/>
        <w:ind w:firstLine="420" w:firstLineChars="200"/>
        <w:outlineLvl w:val="3"/>
        <w:rPr>
          <w:bCs/>
          <w:color w:val="auto"/>
          <w:sz w:val="21"/>
          <w:szCs w:val="21"/>
          <w:highlight w:val="none"/>
        </w:rPr>
      </w:pPr>
      <w:r>
        <w:rPr>
          <w:rFonts w:hint="eastAsia"/>
          <w:bCs/>
          <w:color w:val="auto"/>
          <w:sz w:val="21"/>
          <w:szCs w:val="21"/>
          <w:highlight w:val="none"/>
        </w:rPr>
        <w:t>6.3商务标评审细则（30分）</w:t>
      </w:r>
    </w:p>
    <w:tbl>
      <w:tblPr>
        <w:tblStyle w:val="27"/>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88"/>
        <w:gridCol w:w="7942"/>
      </w:tblGrid>
      <w:tr w14:paraId="1700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80" w:type="dxa"/>
            <w:noWrap w:val="0"/>
            <w:vAlign w:val="center"/>
          </w:tcPr>
          <w:p w14:paraId="75D0BDBA">
            <w:pPr>
              <w:spacing w:line="440" w:lineRule="atLeast"/>
              <w:jc w:val="center"/>
              <w:rPr>
                <w:rFonts w:hint="eastAsia" w:ascii="宋体" w:hAnsi="宋体" w:cs="宋体"/>
                <w:color w:val="auto"/>
                <w:szCs w:val="21"/>
                <w:highlight w:val="none"/>
              </w:rPr>
            </w:pPr>
            <w:r>
              <w:rPr>
                <w:rFonts w:hint="eastAsia" w:ascii="黑体" w:hAnsi="黑体" w:eastAsia="黑体" w:cs="黑体"/>
                <w:b/>
                <w:bCs/>
                <w:color w:val="auto"/>
                <w:szCs w:val="21"/>
                <w:highlight w:val="none"/>
              </w:rPr>
              <w:t>序号</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EE21997">
            <w:pPr>
              <w:spacing w:line="440" w:lineRule="atLeast"/>
              <w:jc w:val="center"/>
              <w:rPr>
                <w:rFonts w:hint="eastAsia" w:ascii="宋体" w:hAnsi="宋体" w:cs="宋体"/>
                <w:color w:val="auto"/>
                <w:szCs w:val="21"/>
                <w:highlight w:val="none"/>
              </w:rPr>
            </w:pPr>
            <w:r>
              <w:rPr>
                <w:rFonts w:hint="eastAsia" w:ascii="黑体" w:hAnsi="黑体" w:eastAsia="黑体" w:cs="黑体"/>
                <w:b/>
                <w:bCs/>
                <w:color w:val="auto"/>
                <w:szCs w:val="21"/>
                <w:highlight w:val="none"/>
              </w:rPr>
              <w:t>评分因素</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170C2968">
            <w:pPr>
              <w:spacing w:line="440" w:lineRule="atLeast"/>
              <w:ind w:firstLine="422" w:firstLineChars="200"/>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评审细则</w:t>
            </w:r>
          </w:p>
        </w:tc>
      </w:tr>
      <w:tr w14:paraId="3F3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769D0817">
            <w:pPr>
              <w:keepNext/>
              <w:wordWrap w:val="0"/>
              <w:topLinePunct/>
              <w:spacing w:line="44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29F0105">
            <w:pPr>
              <w:keepNext/>
              <w:topLinePunct/>
              <w:spacing w:line="440" w:lineRule="atLeast"/>
              <w:jc w:val="center"/>
              <w:rPr>
                <w:rFonts w:hint="eastAsia" w:ascii="宋体" w:hAnsi="宋体" w:cs="宋体"/>
                <w:color w:val="auto"/>
                <w:szCs w:val="21"/>
                <w:highlight w:val="none"/>
              </w:rPr>
            </w:pPr>
            <w:r>
              <w:rPr>
                <w:rFonts w:hint="eastAsia" w:ascii="宋体" w:hAnsi="宋体" w:cs="宋体"/>
                <w:color w:val="auto"/>
                <w:szCs w:val="21"/>
                <w:highlight w:val="none"/>
              </w:rPr>
              <w:t>商务分</w:t>
            </w:r>
          </w:p>
          <w:p w14:paraId="16C5CD25">
            <w:pPr>
              <w:keepNext/>
              <w:topLinePunct/>
              <w:spacing w:line="440" w:lineRule="atLeas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1236D600">
            <w:pPr>
              <w:keepNext/>
              <w:wordWrap w:val="0"/>
              <w:topLinePunct/>
              <w:spacing w:line="440" w:lineRule="atLeast"/>
              <w:rPr>
                <w:rFonts w:ascii="宋体" w:hAnsi="宋体" w:cs="宋体"/>
                <w:color w:val="auto"/>
                <w:szCs w:val="21"/>
                <w:highlight w:val="none"/>
              </w:rPr>
            </w:pPr>
            <w:r>
              <w:rPr>
                <w:rFonts w:hint="eastAsia" w:ascii="宋体" w:hAnsi="宋体" w:cs="宋体"/>
                <w:color w:val="auto"/>
                <w:szCs w:val="21"/>
                <w:highlight w:val="none"/>
              </w:rPr>
              <w:t>采购人设置投标报价最高限价，各投标供应商有效报价不得高于最高限价，否则，其投标文件按无效标处理。</w:t>
            </w:r>
          </w:p>
          <w:p w14:paraId="5A01FEE4">
            <w:pPr>
              <w:keepNext/>
              <w:wordWrap w:val="0"/>
              <w:topLinePunct/>
              <w:spacing w:line="440" w:lineRule="atLeast"/>
              <w:rPr>
                <w:rFonts w:ascii="宋体" w:hAnsi="宋体" w:cs="宋体"/>
                <w:color w:val="auto"/>
                <w:szCs w:val="21"/>
                <w:highlight w:val="none"/>
              </w:rPr>
            </w:pPr>
            <w:r>
              <w:rPr>
                <w:rFonts w:hint="eastAsia" w:ascii="宋体" w:hAnsi="宋体" w:cs="宋体"/>
                <w:color w:val="auto"/>
                <w:szCs w:val="21"/>
                <w:highlight w:val="none"/>
              </w:rPr>
              <w:t>1、评标基准价=所有效投标供应商的最低报价；其得分为满分；</w:t>
            </w:r>
          </w:p>
          <w:p w14:paraId="4D52F02E">
            <w:pPr>
              <w:keepNext/>
              <w:wordWrap w:val="0"/>
              <w:topLinePunct/>
              <w:spacing w:line="440" w:lineRule="atLeast"/>
              <w:rPr>
                <w:rFonts w:ascii="宋体" w:hAnsi="宋体" w:cs="宋体"/>
                <w:color w:val="auto"/>
                <w:szCs w:val="21"/>
                <w:highlight w:val="none"/>
              </w:rPr>
            </w:pPr>
            <w:r>
              <w:rPr>
                <w:rFonts w:hint="eastAsia" w:ascii="宋体" w:hAnsi="宋体" w:cs="宋体"/>
                <w:color w:val="auto"/>
                <w:szCs w:val="21"/>
                <w:highlight w:val="none"/>
              </w:rPr>
              <w:t>2、其它报价得分=评标基准价/投标报价*30分，小数点后保留两位小数，第三位四舍五入；</w:t>
            </w:r>
          </w:p>
          <w:p w14:paraId="080EDB88">
            <w:pPr>
              <w:keepNext/>
              <w:wordWrap w:val="0"/>
              <w:topLinePunct/>
              <w:spacing w:line="440" w:lineRule="atLeast"/>
              <w:rPr>
                <w:rFonts w:hint="eastAsia" w:ascii="宋体" w:hAnsi="宋体" w:cs="宋体"/>
                <w:color w:val="auto"/>
                <w:szCs w:val="21"/>
                <w:highlight w:val="none"/>
              </w:rPr>
            </w:pPr>
            <w:r>
              <w:rPr>
                <w:rFonts w:hint="eastAsia" w:ascii="宋体" w:hAnsi="宋体" w:cs="宋体"/>
                <w:color w:val="auto"/>
                <w:szCs w:val="21"/>
                <w:highlight w:val="none"/>
              </w:rPr>
              <w:t>3、本项分值由评标委员会负责组织计算。</w:t>
            </w:r>
          </w:p>
        </w:tc>
      </w:tr>
    </w:tbl>
    <w:p w14:paraId="2BC8B3E5">
      <w:pPr>
        <w:widowControl/>
        <w:spacing w:before="162" w:beforeLines="50" w:after="162" w:afterLines="50" w:line="440" w:lineRule="exact"/>
        <w:jc w:val="center"/>
        <w:outlineLvl w:val="4"/>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五  推荐中标候选人</w:t>
      </w:r>
      <w:bookmarkEnd w:id="204"/>
      <w:bookmarkEnd w:id="205"/>
      <w:bookmarkEnd w:id="206"/>
      <w:bookmarkEnd w:id="207"/>
    </w:p>
    <w:bookmarkEnd w:id="182"/>
    <w:p w14:paraId="6612DFF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7.评标委员会按资信、技术和商务得分之和，从高到低按顺序，推荐3名中标候选人。</w:t>
      </w:r>
    </w:p>
    <w:p w14:paraId="47092CE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7.1总得分相同的，按投标报价由低到高顺序排列。总得分相同且报价也相同并列的，由采购人现场采取随机摇号的方式确定中标候选人。</w:t>
      </w:r>
    </w:p>
    <w:p w14:paraId="7F9B1DF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8.投标供应商有下列情形之一的，资格审查后其投标作无效投标处理：</w:t>
      </w:r>
    </w:p>
    <w:p w14:paraId="447525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（1）投标供应商为本项目提供招标代理服务的；</w:t>
      </w:r>
    </w:p>
    <w:p w14:paraId="7A8B8AF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（2）投标供应商与在本项目代理机构存在相互任职或工作的；</w:t>
      </w:r>
    </w:p>
    <w:p w14:paraId="464AACE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（3）评标专家无法查看投标文件中相关资料的；</w:t>
      </w:r>
    </w:p>
    <w:p w14:paraId="7A642F8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（4）投标供应商超出营业范围投标的；</w:t>
      </w:r>
    </w:p>
    <w:p w14:paraId="747C48C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（5）被暂停营业的；</w:t>
      </w:r>
    </w:p>
    <w:p w14:paraId="4C4B84E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（6）暂停或取消投标资格的；</w:t>
      </w:r>
    </w:p>
    <w:p w14:paraId="652F999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（7）财产被接管或冻结的；</w:t>
      </w:r>
    </w:p>
    <w:p w14:paraId="6A2EDEA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（8）投标供应商单位负责人为同一人或者存在控股、管理关系的不同单位的；</w:t>
      </w:r>
    </w:p>
    <w:p w14:paraId="748C0F3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（9）投标供应商基本资格条件和特定资格条件中有一项及以上不符合要求的；</w:t>
      </w:r>
    </w:p>
    <w:p w14:paraId="0B63B2A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8.1投标供应商有下列情形之一的，符合性审查后其投标按无效投标处理：</w:t>
      </w:r>
    </w:p>
    <w:p w14:paraId="4D7203F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3DEEE41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经评审小组核准的；</w:t>
      </w:r>
    </w:p>
    <w:p w14:paraId="26A0045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（3）投标文件没有对采购文件的实质性要求和条件作出响应；</w:t>
      </w:r>
    </w:p>
    <w:p w14:paraId="2E30527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（4）投标报价超出规定的投标限价或公布的采购预算的；</w:t>
      </w:r>
    </w:p>
    <w:p w14:paraId="0E2060E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（5）不按评标委员会要求澄清、说明或补正的，或者评标委员会根据采购文件的规定对采购文件的计算错误进行修正后，投标供应商不接受修正的投标报价的。</w:t>
      </w:r>
    </w:p>
    <w:p w14:paraId="195503D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（6）投标文件含有采购人不能接受的附加条件的；</w:t>
      </w:r>
    </w:p>
    <w:p w14:paraId="6D12C60B">
      <w:pPr>
        <w:tabs>
          <w:tab w:val="left" w:pos="1123"/>
        </w:tabs>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（7）采购文件规定的其他无效投标情形。</w:t>
      </w:r>
    </w:p>
    <w:p w14:paraId="1CAD064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投标供应商有下列情形之一的， 详细评审后其投标按无效投标处理：</w:t>
      </w:r>
    </w:p>
    <w:p w14:paraId="4FF2AB9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0E5565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（2）投标供应商有串通投标、弄虚作假、行贿等违法行为；</w:t>
      </w:r>
    </w:p>
    <w:p w14:paraId="3E9FE11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（3）投标文件含有违反国家法律法规的内容，或附有采购人不能接受的条件的；</w:t>
      </w:r>
    </w:p>
    <w:p w14:paraId="2A1C81C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（4）在同一项目（或同一标段）中有多个投标供应商有效投标报价接近最高限价，且评标委员会认为报价出现异常的，可以宣布其投标无效；</w:t>
      </w:r>
    </w:p>
    <w:p w14:paraId="06327A0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（5）报价明显低于其他投标供应商，且不能证明报价合理性的投标无效；</w:t>
      </w:r>
    </w:p>
    <w:p w14:paraId="39236BCD">
      <w:pPr>
        <w:spacing w:line="440" w:lineRule="exact"/>
        <w:ind w:firstLine="420" w:firstLineChars="200"/>
        <w:jc w:val="left"/>
        <w:outlineLvl w:val="4"/>
        <w:rPr>
          <w:rFonts w:hint="eastAsia"/>
          <w:color w:val="auto"/>
          <w:highlight w:val="none"/>
        </w:rPr>
      </w:pPr>
      <w:r>
        <w:rPr>
          <w:rFonts w:hint="eastAsia" w:ascii="宋体" w:hAnsi="宋体" w:cs="宋体"/>
          <w:color w:val="auto"/>
          <w:szCs w:val="21"/>
          <w:highlight w:val="none"/>
        </w:rPr>
        <w:t>（6）拒不确认评标委员会评审修正的投标无效；</w:t>
      </w:r>
    </w:p>
    <w:p w14:paraId="44004D91">
      <w:pPr>
        <w:keepNext/>
        <w:pageBreakBefore/>
        <w:spacing w:before="162" w:beforeLines="50" w:after="162" w:afterLines="50" w:line="440" w:lineRule="exact"/>
        <w:jc w:val="center"/>
        <w:rPr>
          <w:rFonts w:hint="eastAsia" w:ascii="宋体" w:hAnsi="宋体" w:cs="宋体"/>
          <w:b/>
          <w:color w:val="auto"/>
          <w:sz w:val="32"/>
          <w:szCs w:val="32"/>
          <w:highlight w:val="none"/>
        </w:rPr>
        <w:sectPr>
          <w:footerReference r:id="rId8" w:type="first"/>
          <w:footerReference r:id="rId7" w:type="default"/>
          <w:pgSz w:w="11906" w:h="16838"/>
          <w:pgMar w:top="1134" w:right="1417" w:bottom="1134" w:left="1417" w:header="850" w:footer="992" w:gutter="0"/>
          <w:cols w:space="720" w:num="1"/>
          <w:docGrid w:type="lines" w:linePitch="324" w:charSpace="0"/>
        </w:sectPr>
      </w:pPr>
    </w:p>
    <w:p w14:paraId="43D49AAA">
      <w:pPr>
        <w:spacing w:before="162" w:beforeLines="50" w:after="162" w:afterLines="50" w:line="440" w:lineRule="exact"/>
        <w:jc w:val="center"/>
        <w:outlineLvl w:val="1"/>
        <w:rPr>
          <w:rFonts w:ascii="方正小标宋简体" w:eastAsia="方正小标宋简体"/>
          <w:color w:val="auto"/>
          <w:sz w:val="36"/>
          <w:szCs w:val="36"/>
          <w:highlight w:val="none"/>
        </w:rPr>
      </w:pPr>
      <w:bookmarkStart w:id="209" w:name="_Toc3357"/>
      <w:r>
        <w:rPr>
          <w:rFonts w:hint="eastAsia" w:ascii="宋体" w:hAnsi="宋体" w:cs="宋体"/>
          <w:b/>
          <w:color w:val="auto"/>
          <w:sz w:val="32"/>
          <w:szCs w:val="32"/>
          <w:highlight w:val="none"/>
        </w:rPr>
        <w:t>第三章  档案信息化建设采购需求</w:t>
      </w:r>
      <w:bookmarkEnd w:id="209"/>
    </w:p>
    <w:p w14:paraId="6AB2C54B">
      <w:pPr>
        <w:spacing w:line="440" w:lineRule="exact"/>
        <w:ind w:firstLine="420" w:firstLineChars="200"/>
        <w:outlineLvl w:val="2"/>
        <w:rPr>
          <w:rFonts w:hint="eastAsia" w:ascii="宋体" w:hAnsi="宋体" w:cs="宋体"/>
          <w:color w:val="auto"/>
          <w:szCs w:val="21"/>
          <w:highlight w:val="none"/>
        </w:rPr>
      </w:pPr>
      <w:bookmarkStart w:id="210" w:name="_Toc25114"/>
      <w:r>
        <w:rPr>
          <w:rFonts w:hint="eastAsia" w:ascii="宋体" w:hAnsi="宋体" w:cs="宋体"/>
          <w:color w:val="auto"/>
          <w:szCs w:val="21"/>
          <w:highlight w:val="none"/>
        </w:rPr>
        <w:t>一、项目建设总体要求</w:t>
      </w:r>
      <w:bookmarkEnd w:id="210"/>
    </w:p>
    <w:p w14:paraId="53F1EB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以建设一个标准统一、操作灵活、体系结构开放、易扩充、易维护、安全、稳定、可靠的数字档案管理平台为建设目标。其功能涵盖档案管理工作的整个业务流程，包括档案的采集、处理、归档、存储、组织、利用及数字资源管理全过程，实现分布式异构数据的集成管理与资源共享，达到实体档案流程化管理和电子档案全程管理的目标。</w:t>
      </w:r>
    </w:p>
    <w:p w14:paraId="7DB70E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在合同签订生效后180个日历天内具备系统验收条件。</w:t>
      </w:r>
    </w:p>
    <w:p w14:paraId="12BBC59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本项目采购系统需为自主研发产品，有售后与服务保障；需提供免费部署、培训服务。</w:t>
      </w:r>
    </w:p>
    <w:p w14:paraId="152103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供应商应该在满足采购方要求的情况下，就本项目提出系统所需要具备的软硬件运行环境，提供系统架构的设计方案和硬件要求、平台软件的适用版本及授权数（无上限使用人数）。采购方按此要求完成硬件安装后，供应商必须保证应用系统软件的正常运转，否则将承担违约责任。</w:t>
      </w:r>
    </w:p>
    <w:p w14:paraId="042AB98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须严格遵守软件系统工程管理要求进行系统的开发、安装、调试、培训及售后服务等工作，并按要求提供系统相关文档，包含但不限于需求说明书、系统详细设计报告、数据库设计说明书、用户手册、系统管理员手册、简明使用手册、系统验收报告、系统试运行报告、系统部署方案、系统应急预案等。</w:t>
      </w:r>
    </w:p>
    <w:p w14:paraId="6EBFBF4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设计的各业务系统涉及到的公共数据部分应以采购方的信息标准规范为准，未在采购方信息标准规范中界定的数据，应符合相应的国家标准和行业标准，个性化部分应符合采购方业务发展需要，并协助采购方将其制定为内部信息标准规范。</w:t>
      </w:r>
    </w:p>
    <w:p w14:paraId="1DFDD6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供应商开发的应用系统如使用浏览器，必须考虑兼容性，满足主流浏览器的正常使用（如Edge、IE、360、搜狗、Chrome、Firefox、Google等）。如不符合要求，由供应商负责免费修改。</w:t>
      </w:r>
    </w:p>
    <w:p w14:paraId="6E4E4419">
      <w:pPr>
        <w:spacing w:line="440" w:lineRule="exact"/>
        <w:ind w:firstLine="420" w:firstLineChars="200"/>
        <w:outlineLvl w:val="2"/>
        <w:rPr>
          <w:rFonts w:hint="eastAsia" w:ascii="宋体" w:hAnsi="宋体" w:cs="宋体"/>
          <w:color w:val="auto"/>
          <w:szCs w:val="21"/>
          <w:highlight w:val="none"/>
        </w:rPr>
      </w:pPr>
      <w:bookmarkStart w:id="211" w:name="_Toc25241"/>
      <w:r>
        <w:rPr>
          <w:rFonts w:hint="eastAsia" w:ascii="宋体" w:hAnsi="宋体" w:cs="宋体"/>
          <w:color w:val="auto"/>
          <w:szCs w:val="21"/>
          <w:highlight w:val="none"/>
        </w:rPr>
        <w:t>二、项目建设原则</w:t>
      </w:r>
      <w:bookmarkEnd w:id="211"/>
    </w:p>
    <w:p w14:paraId="59C1CA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1.规范性原则。遵循国际通用的软件开发标准，并按照国家标准及档案行业标准执行。</w:t>
      </w:r>
    </w:p>
    <w:p w14:paraId="7AA6EDC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2.先进性原则。系统应采用主流技术和架构，所提供的技术在近期内具有先进性，并与当前或未来的新技术、操作系统、数据库以及应用服务器具有兼容性。</w:t>
      </w:r>
    </w:p>
    <w:p w14:paraId="06AF85C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3.可靠性原则。系统稳定可靠，具有较强的容错性，在完成初始设定后可长时间稳定运行。能提供方便的数据备份和恢复措施。</w:t>
      </w:r>
    </w:p>
    <w:p w14:paraId="31531F8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4.扩展性原则。系统采用模块化、组件化的体系结构，在技术架构和设计模式上保证技术的延续性、灵活的扩展性和广泛的适应性，确保系统能满足用户在数据及业务功能扩展方面的需求。</w:t>
      </w:r>
    </w:p>
    <w:p w14:paraId="5DB0CAB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5.开放性原则。提供开放的数据接口，不仅考虑系统本身功能模块的扩充与维护，同时要充分考虑与其它系统的接口和二次开发。</w:t>
      </w:r>
    </w:p>
    <w:p w14:paraId="621E69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6.易用性原则。根据用户的使用习惯和要求，提供灵活易用的界面设置、业务流程设置、管理维护的手段和机制，以及美观、友好、简便的使用界面。</w:t>
      </w:r>
    </w:p>
    <w:p w14:paraId="2B15B38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安全性原则。具备统一完善的多级安全机制设置，符合国家安全及保密部门要求，避免系统数据遭到破坏，防止系统数据被窃取和篡改。对于关键信息使用加密传输，传输的数据文件提供不可抵赖性确认。保证数据从传输、存储到利用全过程的真实性、完整性、安全性。</w:t>
      </w:r>
    </w:p>
    <w:p w14:paraId="6B4112C7">
      <w:pPr>
        <w:spacing w:line="440" w:lineRule="exact"/>
        <w:ind w:firstLine="420" w:firstLineChars="200"/>
        <w:outlineLvl w:val="2"/>
        <w:rPr>
          <w:rFonts w:hint="eastAsia" w:ascii="宋体" w:hAnsi="宋体" w:cs="宋体"/>
          <w:color w:val="auto"/>
          <w:szCs w:val="21"/>
          <w:highlight w:val="none"/>
        </w:rPr>
      </w:pPr>
      <w:bookmarkStart w:id="212" w:name="_Toc29738"/>
      <w:r>
        <w:rPr>
          <w:rFonts w:hint="eastAsia" w:ascii="宋体" w:hAnsi="宋体" w:cs="宋体"/>
          <w:color w:val="auto"/>
          <w:szCs w:val="21"/>
          <w:highlight w:val="none"/>
        </w:rPr>
        <w:t>三、项目技术要求</w:t>
      </w:r>
      <w:bookmarkEnd w:id="212"/>
    </w:p>
    <w:p w14:paraId="69AEB0BD">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1.档案管理系统技术要求</w:t>
      </w:r>
    </w:p>
    <w:p w14:paraId="070234E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（1）系统应支持SOA（面向服务的体系架构）架构，支持电子文件离线接收，支持符合长期保存要求的文件格式的导入接收，并实现元数据、目录数据与对应电子文件、电子档案自动关联。</w:t>
      </w:r>
    </w:p>
    <w:p w14:paraId="5FF0A7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（2）系统须遵循OAIS参考模型，遵从国家最新的档案业务规范和标准，投标人提供的系统符合国家档案局印发的最新标准。</w:t>
      </w:r>
    </w:p>
    <w:p w14:paraId="5A2911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（3）系统采用B/S结构，利用JAVA、Web Service、XML等成熟技术；系统结构应具备开放性，可实现与其他系统的功能集成、数据共享与交换；应满足当前及可预见的时间内的业务需求，可方便地进行功能扩展。</w:t>
      </w:r>
    </w:p>
    <w:p w14:paraId="4AC6E98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（4）系统服务端需运行在符合安全可靠测评要求的开源或者国产的操作系统、数据库和中间件上，且来源可靠无版权风险。</w:t>
      </w:r>
    </w:p>
    <w:p w14:paraId="7EDC0F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（5）系统支持可运行在多种主流浏览器上如：360、谷歌、火狐、QQ浏览器等，并提供强大的检索功能。</w:t>
      </w:r>
    </w:p>
    <w:p w14:paraId="1AABD1E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（6）系统应采用模块化设计，封装在不同的功能组件中，方便将来的功能扩展，利用SOA模式的系统架构优势进行功能迭代和升级。同时预留规范接口，支持业务扩展与其他业务系统的对接。</w:t>
      </w:r>
    </w:p>
    <w:p w14:paraId="352893A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（7）系统能按照电子文件的归档要求，配合电子签章可完全实现电子档案四性检测，自动批量实现电子文件的元数据采集、归档及按照格式批量生成电子文件备份包，满足单套制归档的要求。</w:t>
      </w:r>
    </w:p>
    <w:p w14:paraId="028BF4E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（8）系统需要确保档案信息系统数据安全，避免传统数据备份技术带来的备份窗口、数据一致性与对生产系统带来的影响，实现数据快速恢复。</w:t>
      </w:r>
    </w:p>
    <w:p w14:paraId="0D1B6625">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（9）系统需支持大数据量级的数据存储及管理。</w:t>
      </w:r>
    </w:p>
    <w:p w14:paraId="75B28F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（10）系统具备文件存储加密、传输加密等加密技术，符合国家档案馆安全保密体系建设的要求，并具备在线展示格式和长期保存格式设置水印。</w:t>
      </w:r>
    </w:p>
    <w:p w14:paraId="54C7AE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（11）系统具备运行安全和用户权限的管理控制。可实现防数据篡改、防非法登录、防止非法获取权限，提供对用户操作的日志记录和审计。</w:t>
      </w:r>
    </w:p>
    <w:p w14:paraId="507CD6D3">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2.系统接口要求</w:t>
      </w:r>
    </w:p>
    <w:p w14:paraId="0B0D7C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需预留归档接口，为后期其它业务对接归档提供标准化模式，支持与学校现有业务系统做接口对接，实现对应系统归档范围内数据的在线归档管理；可针对后期通过标准接口增加的对接业务提供支持。投标供应商需提供详细接口文档说明，以及相关界面截图展示作为技术支持资料。</w:t>
      </w:r>
    </w:p>
    <w:p w14:paraId="1943B7B2">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3.软件系统性能要求</w:t>
      </w:r>
    </w:p>
    <w:p w14:paraId="1177BAF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（1）系统能够支持并发用户数＞200人，同时在线人数＞1000人；系统对用户数量没有限制；</w:t>
      </w:r>
    </w:p>
    <w:p w14:paraId="0033DDA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（2）系统登陆响应不超过5秒；</w:t>
      </w:r>
    </w:p>
    <w:p w14:paraId="44C416B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（3）支持海量档案数据运转和管理；</w:t>
      </w:r>
    </w:p>
    <w:p w14:paraId="7E1BE5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（4）支持海量数据库智能检索，千万级以上目录数据查询结果的页面响应时间不超过1秒，全文检索结果查询不超过2秒；</w:t>
      </w:r>
    </w:p>
    <w:p w14:paraId="265FC90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（5）系统资源情况：CPU使用率不超过80%，内存使用率不超过75%，网络带宽占用不超过总带宽的60%。</w:t>
      </w:r>
    </w:p>
    <w:p w14:paraId="11C6854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（6）目录数据查全率达到100%；</w:t>
      </w:r>
    </w:p>
    <w:p w14:paraId="17ED7F5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（7）目录数据查准率大于98%；</w:t>
      </w:r>
    </w:p>
    <w:p w14:paraId="609CE0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（8）系统平均无故障运行时间＞5000小时；</w:t>
      </w:r>
    </w:p>
    <w:p w14:paraId="3ABF71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（9）系统恢复时间＜4小时；</w:t>
      </w:r>
    </w:p>
    <w:p w14:paraId="5FCD1F3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（10）系统有效工作时间≥99%；</w:t>
      </w:r>
    </w:p>
    <w:p w14:paraId="07BC57F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（11）电子目录数据接收、导入（导出）临时或核心数据库每批次能承载万条以上，记录数据信息不发生错误。</w:t>
      </w:r>
    </w:p>
    <w:p w14:paraId="118DDDD7">
      <w:pPr>
        <w:spacing w:line="440" w:lineRule="exact"/>
        <w:ind w:firstLine="420" w:firstLineChars="200"/>
        <w:outlineLvl w:val="2"/>
        <w:rPr>
          <w:rFonts w:hint="eastAsia" w:ascii="宋体" w:hAnsi="宋体" w:cs="宋体"/>
          <w:color w:val="auto"/>
          <w:szCs w:val="21"/>
          <w:highlight w:val="none"/>
        </w:rPr>
      </w:pPr>
      <w:bookmarkStart w:id="213" w:name="_Toc4601"/>
      <w:r>
        <w:rPr>
          <w:rFonts w:hint="eastAsia" w:ascii="宋体" w:hAnsi="宋体" w:cs="宋体"/>
          <w:color w:val="auto"/>
          <w:szCs w:val="21"/>
          <w:highlight w:val="none"/>
        </w:rPr>
        <w:t>四、项目服务要求</w:t>
      </w:r>
      <w:bookmarkEnd w:id="213"/>
      <w:bookmarkStart w:id="214" w:name="_Toc20606"/>
    </w:p>
    <w:p w14:paraId="052249DE">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1．项目团队要求</w:t>
      </w:r>
      <w:bookmarkEnd w:id="214"/>
    </w:p>
    <w:p w14:paraId="0CB3C1C0">
      <w:pPr>
        <w:spacing w:line="440" w:lineRule="exact"/>
        <w:ind w:firstLine="420" w:firstLineChars="200"/>
        <w:outlineLvl w:val="4"/>
        <w:rPr>
          <w:rFonts w:hint="eastAsia" w:ascii="宋体" w:hAnsi="宋体" w:cs="宋体"/>
          <w:b/>
          <w:color w:val="auto"/>
          <w:szCs w:val="21"/>
          <w:highlight w:val="none"/>
        </w:rPr>
      </w:pPr>
      <w:r>
        <w:rPr>
          <w:rFonts w:hint="eastAsia" w:ascii="宋体" w:hAnsi="宋体" w:cs="宋体"/>
          <w:color w:val="auto"/>
          <w:szCs w:val="21"/>
          <w:highlight w:val="none"/>
        </w:rPr>
        <w:t>（1）项目团队：项目团队组织架构合理，团队成员不少于5人。</w:t>
      </w:r>
    </w:p>
    <w:p w14:paraId="27FEA562">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（2）实施团队人员配备合理可行、专业性强，职责分工明确，经验丰富，能力强。团队成员组成须保持稳定，均有类似项目经验，为投标人单位正式在职员工，且合同签订后中标人须提供有效的人员管理措施。</w:t>
      </w:r>
    </w:p>
    <w:p w14:paraId="0843A902">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（3）中标人应与用户进行充分细致的沟通，并按照用户的具体需求进行项目实施。</w:t>
      </w:r>
    </w:p>
    <w:p w14:paraId="044FEF78">
      <w:pPr>
        <w:spacing w:line="440" w:lineRule="exact"/>
        <w:ind w:firstLine="422" w:firstLineChars="200"/>
        <w:outlineLvl w:val="3"/>
        <w:rPr>
          <w:rFonts w:hint="eastAsia" w:ascii="宋体" w:hAnsi="宋体" w:cs="宋体"/>
          <w:b/>
          <w:color w:val="auto"/>
          <w:szCs w:val="21"/>
          <w:highlight w:val="none"/>
        </w:rPr>
      </w:pPr>
      <w:bookmarkStart w:id="215" w:name="_Toc24443"/>
      <w:r>
        <w:rPr>
          <w:rFonts w:hint="eastAsia" w:ascii="宋体" w:hAnsi="宋体" w:cs="宋体"/>
          <w:b/>
          <w:color w:val="auto"/>
          <w:szCs w:val="21"/>
          <w:highlight w:val="none"/>
        </w:rPr>
        <w:t>2．项目实施要求</w:t>
      </w:r>
      <w:bookmarkEnd w:id="215"/>
    </w:p>
    <w:p w14:paraId="4D45BAAA">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（1）中标人在项目实施直至交付使用的过程中，应派一名固定的技术人员与使用单位人员随时保持联系。</w:t>
      </w:r>
    </w:p>
    <w:p w14:paraId="19ED32F3">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（2）中标人应及时向使用单位提供项目实施过程中的安全管控措施。</w:t>
      </w:r>
    </w:p>
    <w:p w14:paraId="5B9EF1D0">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（3）能提供详细的项目实施方案和项目进度计划及质量保障措施、测试验收、服务质量控制等方案。方案需具有合理性、可行性。</w:t>
      </w:r>
    </w:p>
    <w:p w14:paraId="39D16C8D">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（4）中标人提供本项目突发事件应急处理措施和响应方案，方案详细具体，科学、合理、可行，能切实保障项目的实施。</w:t>
      </w:r>
    </w:p>
    <w:p w14:paraId="104310E7">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3．项目安装调试要求</w:t>
      </w:r>
    </w:p>
    <w:p w14:paraId="52B94887">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（1）安装调试费用包含在项目实施费用中。</w:t>
      </w:r>
    </w:p>
    <w:p w14:paraId="053B2F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（2）中标人提供本项目系统安装调试方案，包含安装调试部署团队组成、项目安装部署、测试验收与联调联试等方案。方案需具有合理性、可行性。</w:t>
      </w:r>
    </w:p>
    <w:p w14:paraId="685BF9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项目安装调试过程中需指定技术工程师，在现场提供免费驻场服务，直到项目验收合格并完成交付。</w:t>
      </w:r>
    </w:p>
    <w:p w14:paraId="4423CA85">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4．项目培训及售后服务要求</w:t>
      </w:r>
    </w:p>
    <w:p w14:paraId="352B7A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（1）免费维保期：自项目验收通过之日起，对整个系统免费维保3年。</w:t>
      </w:r>
    </w:p>
    <w:p w14:paraId="02B7C7B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（2）在免费维保期内，中标人应免费提供软件系统的维护、更新、升级、软件故障排除。</w:t>
      </w:r>
    </w:p>
    <w:p w14:paraId="51CAA73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中标人负责所投产品的部署及正常运行所依赖的软硬件资源（除校方提供的服务器硬件及网络接入环境之外）的所有管理与维护工作，包括但不限于操作系统、中间件、软件系统、数据库等的管理与维护工作。</w:t>
      </w:r>
    </w:p>
    <w:p w14:paraId="04777FEB">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（3）7×24小时回答采购方有关系统维护和使用方面的问题。</w:t>
      </w:r>
    </w:p>
    <w:p w14:paraId="1D8891F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人在质量保证期内应当根据采购人具体需求提供电话咨询、远程协助、现场上门等服务，具体响应时间为：中标人在接到校方的故障报修后，应在30分钟内安排技术人员远程处理，4小时内解决问题，否则应上门服务并在12小时内排除故障并出具故障处理报告（包括原因、处理过程及预防措施）；在质保期内，如中标人的本产品有更高版本，应主动告知校方，校方确认需要升级后，中标人进行升级并承担升级的各项费用；如所投产品存在安全漏洞、软件缺陷等影响使用的风险，则应终身免费予以解决，不受质保期所限。</w:t>
      </w:r>
    </w:p>
    <w:p w14:paraId="2D3179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培训及技术服务，为保障应用软件顺利运行，应考虑到相关的培训安排。提供现场技术培训和培训材料，对系统管理员的培训应在系统安装、调试开始，确保使用人员掌握系统的使用方法和技巧并能独立使用系统。</w:t>
      </w:r>
    </w:p>
    <w:p w14:paraId="40E7A864">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5．历史数据迁移要求</w:t>
      </w:r>
    </w:p>
    <w:p w14:paraId="547DE2E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（1）中标人需要免费把档案馆目前使用的档案管理系统中的档案数据完整的迁移到新的数字档案管理系统中，要求保证迁移数据的完整性，包括案卷（件）目录、电子全文、用户、模版、权限、日志等。</w:t>
      </w:r>
    </w:p>
    <w:p w14:paraId="73296A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（2）必须做好迁移档案数据的安全保密工作，提供保密工作承诺函。</w:t>
      </w:r>
    </w:p>
    <w:p w14:paraId="08603EA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（3）为保障后续新旧系统数据增量迁移，投标人须有迁移工具支撑。</w:t>
      </w:r>
    </w:p>
    <w:p w14:paraId="0867763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中标人应设计历史数据迁移方案，建立数据迁移测试环境，在正式数据迁移前，在测试环境中进行充分的测试。</w:t>
      </w:r>
    </w:p>
    <w:p w14:paraId="63FA7FC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数据迁移过程中，中标单位应确保所有数据迁移操作由专业人员进行，免费完成与旧档案管理系统的对接工作。</w:t>
      </w:r>
    </w:p>
    <w:p w14:paraId="4BC7E6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在数据迁移过程中，要绝对保证数据的安全性，避免数据损失、丢失等风险。中标方应通过数据校验和验证机制，确保数据不丢失、不重复，并且符合预期的数据格式和规范。</w:t>
      </w:r>
    </w:p>
    <w:p w14:paraId="741B77C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数据迁移完成后，投标方应进行全面的数据验证和测试，确保新系统能够正常访问和使用迁移过来的数据。</w:t>
      </w:r>
    </w:p>
    <w:p w14:paraId="2EBFAA2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投标方应提供详细的数据迁移文档，包括迁移方案、测试记录、验证结果等。</w:t>
      </w:r>
    </w:p>
    <w:p w14:paraId="0728C469">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6．项目成果交付要求</w:t>
      </w:r>
    </w:p>
    <w:p w14:paraId="7E3A40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了保证项目顺利验收，同时为了保证学校后续对项目的可持续性运行维护和扩展。在验收过程中，中标人需向学校提交所有相关技术资料和管理资料。项目验收过程中移交资料主要包括但不限于：系统设计书、数据字典及完整的数据库说明文档（包括所有数据库表的清单及表之间的逻辑关系、对应的中文描述和用途说明、每个数据库表结构的详细说明、代码类数据库表说明等）、使用手册和视频（包括普通用户和管理员使用手册和视频）、测试报告（包括系统性能测试报告、试运行报告）等。</w:t>
      </w:r>
    </w:p>
    <w:p w14:paraId="63111838">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7.其他</w:t>
      </w:r>
    </w:p>
    <w:p w14:paraId="0252E0F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中标单位需配合学校通过信息安全等级保护二级，同时支付等保测评费用。</w:t>
      </w:r>
    </w:p>
    <w:p w14:paraId="4BBA42F9">
      <w:pPr>
        <w:spacing w:line="440" w:lineRule="exact"/>
        <w:ind w:firstLine="420" w:firstLineChars="200"/>
        <w:outlineLvl w:val="2"/>
        <w:rPr>
          <w:rFonts w:hint="eastAsia" w:ascii="宋体" w:hAnsi="宋体" w:cs="宋体"/>
          <w:color w:val="auto"/>
          <w:szCs w:val="21"/>
          <w:highlight w:val="none"/>
        </w:rPr>
      </w:pPr>
      <w:bookmarkStart w:id="216" w:name="_Toc24054"/>
      <w:r>
        <w:rPr>
          <w:rFonts w:hint="eastAsia" w:ascii="宋体" w:hAnsi="宋体" w:cs="宋体"/>
          <w:color w:val="auto"/>
          <w:szCs w:val="21"/>
          <w:highlight w:val="none"/>
        </w:rPr>
        <w:t>五、电子档案管理系统功能与各模块要求</w:t>
      </w:r>
      <w:bookmarkEnd w:id="216"/>
    </w:p>
    <w:p w14:paraId="3F5178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电子档案管理系统通用功能要求》（GB/T39784-2021）、《电子文件归档与电子档案管理规范》（GB/T18894-2016）、《版式电子文件长期保存格式需求》（DA/T47-2009）、《长期保存的电子文档文件格式》（GB/T23286.1-2009）、《数字档案馆建设指南》（档办〔2010〕116号）、《数字档案馆系统测试办法》（档办发〔2014〕6号）等国家或行业标准建设。</w:t>
      </w:r>
    </w:p>
    <w:p w14:paraId="7B8ABD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中档案分类及管理应参照《高等学校档案实体分类法》和《高等学校档案工作规范》，包括档案信息采集、档案信息管理、档案信息利用、系统设置、归档管理、工作流管理等基本功能，实现对高校各种载体档案的收集、整理、检索、统计等基本业务管理，支持对后台档案类型、数据结构等的定制和维护，支持数据关联设定和自动提取生成，实现档案信息资源及电子文件的有效管理。</w:t>
      </w:r>
    </w:p>
    <w:p w14:paraId="1F5F257E">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（一）电子档案管理系统功能</w:t>
      </w:r>
      <w:bookmarkStart w:id="217" w:name="_Toc12867"/>
      <w:bookmarkStart w:id="218" w:name="_Toc8362"/>
      <w:bookmarkStart w:id="219" w:name="_Toc3601"/>
      <w:bookmarkStart w:id="220" w:name="_Toc19693"/>
      <w:bookmarkStart w:id="221" w:name="_Toc15240"/>
      <w:bookmarkStart w:id="222" w:name="_Toc1524"/>
      <w:bookmarkStart w:id="223" w:name="_Toc103164489"/>
      <w:bookmarkStart w:id="224" w:name="_Toc6624"/>
    </w:p>
    <w:p w14:paraId="75672F16">
      <w:pPr>
        <w:spacing w:line="440" w:lineRule="exact"/>
        <w:ind w:firstLine="422" w:firstLineChars="200"/>
        <w:outlineLvl w:val="4"/>
        <w:rPr>
          <w:rFonts w:hint="eastAsia" w:ascii="宋体" w:hAnsi="宋体" w:cs="宋体"/>
          <w:color w:val="auto"/>
          <w:szCs w:val="21"/>
          <w:highlight w:val="none"/>
        </w:rPr>
      </w:pPr>
      <w:r>
        <w:rPr>
          <w:rFonts w:hint="eastAsia" w:ascii="宋体" w:hAnsi="宋体" w:cs="宋体"/>
          <w:b/>
          <w:color w:val="auto"/>
          <w:szCs w:val="21"/>
          <w:highlight w:val="none"/>
        </w:rPr>
        <w:t>1.档案收集</w:t>
      </w:r>
      <w:bookmarkEnd w:id="217"/>
      <w:bookmarkEnd w:id="218"/>
      <w:bookmarkEnd w:id="219"/>
      <w:bookmarkEnd w:id="220"/>
      <w:bookmarkEnd w:id="221"/>
      <w:bookmarkEnd w:id="222"/>
      <w:bookmarkEnd w:id="223"/>
      <w:bookmarkEnd w:id="224"/>
    </w:p>
    <w:p w14:paraId="2439C47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DOC、XLS、TXT、PDF、PNG、TIFF、OFD、MP3、MP4等常用格式文件的接收与管理。系统支持自动生成案卷目录、卷内目录；在进行档案著录时，系统提供多样化的录入方式和自动处理过程，为用户带来方便、友好的操作体验。主要功能如下：</w:t>
      </w:r>
    </w:p>
    <w:p w14:paraId="598CB7F3">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（1）档案表管理</w:t>
      </w:r>
    </w:p>
    <w:p w14:paraId="1E2DEE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系统支持档案按“卷”、“件”管理；</w:t>
      </w:r>
    </w:p>
    <w:p w14:paraId="430A92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支持对档号设定是否检查唯一性，并设定检查表下或类目下唯一性；</w:t>
      </w:r>
    </w:p>
    <w:p w14:paraId="3E9E9CC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支持对档案表批量设定人员权限；</w:t>
      </w:r>
    </w:p>
    <w:p w14:paraId="4E187E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支持合并档案表，合并过程中支持对重复档案、题名进行数据过滤；</w:t>
      </w:r>
    </w:p>
    <w:p w14:paraId="0B8EE3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支持撤销最近一次档案表合并操作。</w:t>
      </w:r>
    </w:p>
    <w:p w14:paraId="6AB70D22">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（2）档案单个著录</w:t>
      </w:r>
    </w:p>
    <w:p w14:paraId="47F5AEC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系统支持单条条目信息卡片式著录；</w:t>
      </w:r>
    </w:p>
    <w:p w14:paraId="0FEDC65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支持选择多种著录项类型，如输入、多行输入、单选；</w:t>
      </w:r>
    </w:p>
    <w:p w14:paraId="02AE44D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支持件号自增或继承或设置固定值；</w:t>
      </w:r>
    </w:p>
    <w:p w14:paraId="75693B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支持必填校验、数字校验等著录格式校验。</w:t>
      </w:r>
    </w:p>
    <w:p w14:paraId="3A2285C2">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（3）档案批量著录</w:t>
      </w:r>
    </w:p>
    <w:p w14:paraId="351CDA5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系统支持Excel格式数据导入，实现条目数据批量导入；</w:t>
      </w:r>
    </w:p>
    <w:p w14:paraId="3CE040E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支持导入过程中选择条目的存放类目为现有类目、新增类目以及按照表格内容批量生成新类目；</w:t>
      </w:r>
    </w:p>
    <w:p w14:paraId="08CEEBF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支持自动读取导入的字段并与系统内的档案著录项一一对应；</w:t>
      </w:r>
    </w:p>
    <w:p w14:paraId="7DADAF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支持按照条目内容自动判断档案类型为案卷或文件；</w:t>
      </w:r>
    </w:p>
    <w:p w14:paraId="5E991B2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支持对导入的档案条目进行判重，对重复导入的条目可自由选择覆盖或不导入处理；</w:t>
      </w:r>
    </w:p>
    <w:p w14:paraId="799065E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支持对导入字段的有效性进行核对，可导出不合格的著录条目项并给出修改意见。</w:t>
      </w:r>
    </w:p>
    <w:p w14:paraId="39995021">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（4）附件批量挂接</w:t>
      </w:r>
    </w:p>
    <w:p w14:paraId="55F093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系统支持一次性挂接文本、图片、音频、视频等不同格式的电子附件，并按照文本、图片、音频、视频等格式自动归类；</w:t>
      </w:r>
    </w:p>
    <w:p w14:paraId="1812DD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支持上传附件时选择文件或文件夹；</w:t>
      </w:r>
    </w:p>
    <w:p w14:paraId="39DB1CE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支持灵活的挂接规则，批量挂接的文件命名规则可随之灵活设置；</w:t>
      </w:r>
    </w:p>
    <w:p w14:paraId="483B445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支持对未生成条目的附件自动生成条目并挂载该附件。</w:t>
      </w:r>
    </w:p>
    <w:p w14:paraId="4B438CC5">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（5）档案附件管理</w:t>
      </w:r>
    </w:p>
    <w:p w14:paraId="7663B7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支持对条目下的电子附件进行上传、下载、预览、打印、删除、加盖及删除电子归档章等操作；</w:t>
      </w:r>
    </w:p>
    <w:p w14:paraId="7794CF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系统支持自动提取已挂接电子文件的正文内容，并建立索引；</w:t>
      </w:r>
    </w:p>
    <w:p w14:paraId="6D426A9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支持查看档案附件元数据；</w:t>
      </w:r>
    </w:p>
    <w:p w14:paraId="1B2EFDE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支持对档案附件进行水印设置；</w:t>
      </w:r>
    </w:p>
    <w:p w14:paraId="5B2D66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支持调整附件前后顺序。</w:t>
      </w:r>
    </w:p>
    <w:p w14:paraId="58266D10">
      <w:pPr>
        <w:spacing w:line="440" w:lineRule="exact"/>
        <w:ind w:firstLine="422" w:firstLineChars="200"/>
        <w:outlineLvl w:val="4"/>
        <w:rPr>
          <w:rFonts w:hint="eastAsia" w:ascii="宋体" w:hAnsi="宋体" w:cs="宋体"/>
          <w:b/>
          <w:color w:val="auto"/>
          <w:szCs w:val="21"/>
          <w:highlight w:val="none"/>
        </w:rPr>
      </w:pPr>
      <w:bookmarkStart w:id="225" w:name="_Toc6995"/>
      <w:bookmarkStart w:id="226" w:name="_Toc20495"/>
      <w:bookmarkStart w:id="227" w:name="_Toc6526"/>
      <w:bookmarkStart w:id="228" w:name="_Toc18558"/>
      <w:bookmarkStart w:id="229" w:name="_Toc1300"/>
      <w:bookmarkStart w:id="230" w:name="_Toc103164490"/>
      <w:bookmarkStart w:id="231" w:name="_Toc2944"/>
      <w:r>
        <w:rPr>
          <w:rFonts w:hint="eastAsia" w:ascii="宋体" w:hAnsi="宋体" w:cs="宋体"/>
          <w:b/>
          <w:color w:val="auto"/>
          <w:szCs w:val="21"/>
          <w:highlight w:val="none"/>
        </w:rPr>
        <w:t>2.档案整理</w:t>
      </w:r>
      <w:bookmarkEnd w:id="225"/>
      <w:bookmarkEnd w:id="226"/>
      <w:bookmarkEnd w:id="227"/>
      <w:bookmarkEnd w:id="228"/>
      <w:bookmarkEnd w:id="229"/>
      <w:bookmarkEnd w:id="230"/>
      <w:bookmarkEnd w:id="231"/>
    </w:p>
    <w:p w14:paraId="174B5F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档案整理用于辅助档案管理人员对已采集的各类预归档档案进行编辑、修改、分类、组卷、拆卷、目录打印、归档移交等一系列编目过程，最终形成正式档案。主要功能包括：</w:t>
      </w:r>
    </w:p>
    <w:p w14:paraId="6BFEB8BC">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（1）档案条目移动、复制</w:t>
      </w:r>
    </w:p>
    <w:p w14:paraId="584B316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条目移动：支持档案条目在档案表内、档案表间，进行档案条目的移动管理，移动时可以选择保留当前类目层级或者选择已有的目标档案类目，也可选择新增类目。支持上传的附件随条目一同移动。</w:t>
      </w:r>
    </w:p>
    <w:p w14:paraId="357974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条目复制：支持档案条目在档案表内、档案表间，进行档案条目的复制管理，复制时可以选择已有的目标档案类目，也可选择新增类目。支持上传的附件随条目一同复制。</w:t>
      </w:r>
    </w:p>
    <w:p w14:paraId="7AD49CE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类目操作：支持对多个类目下的档案一次性进行复制或移动，可在目标档案表内继承原类目层级信息支持上传的附件随条目一同复制、移动。</w:t>
      </w:r>
    </w:p>
    <w:p w14:paraId="3FCC76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■（2）档案批量修改</w:t>
      </w:r>
    </w:p>
    <w:p w14:paraId="225D4A2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支持重命名、替换、增加前后缀等多种修改方式，支持一次性修改多个著录项字段;支持修改撤回操作。</w:t>
      </w:r>
    </w:p>
    <w:p w14:paraId="21FD01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（3）档案排序：支持案卷或文件重新编号、排序，方便插卷、抽卷。</w:t>
      </w:r>
    </w:p>
    <w:p w14:paraId="027C48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（4）档案记录表头设置：支持自定义档案表字段显示、隐藏、列宽及排序设置。</w:t>
      </w:r>
    </w:p>
    <w:p w14:paraId="3B87F2D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（5）批量删除：支持删除档案条目及附件操作；删除时弹窗二次提示；支持仅删除档案附件保留档案条目。</w:t>
      </w:r>
    </w:p>
    <w:p w14:paraId="6222F83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（6）回收站：支持暂存删除的档案条目在回收站中，同时记录删除的时间及账号；支持从回收站中恢复已删除的条目，可选择恢复后的条目存放的类目位置；支持在二次确认的情况下，清空回收站。</w:t>
      </w:r>
    </w:p>
    <w:p w14:paraId="322A747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（7）在线目录打印</w:t>
      </w:r>
    </w:p>
    <w:p w14:paraId="7536C3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无需安装插件、无需下载即可在线打印功能,；</w:t>
      </w:r>
    </w:p>
    <w:p w14:paraId="437AD5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支持在浏览器中直接打印案卷封面、脊背、案卷目录、卷内目录、归档文件目录、备考表、归档目录清单等；</w:t>
      </w:r>
    </w:p>
    <w:p w14:paraId="65EBF2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提供购物车式选择打印范围；</w:t>
      </w:r>
    </w:p>
    <w:p w14:paraId="7CC091C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支持在打印预览页面调整目录的行高、字体、字号、页码、页脚、页边距等；</w:t>
      </w:r>
    </w:p>
    <w:p w14:paraId="2876A9A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支持选择档案条目是否连打；</w:t>
      </w:r>
    </w:p>
    <w:p w14:paraId="6374CE8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支持下载目录excel为本地文件。</w:t>
      </w:r>
    </w:p>
    <w:p w14:paraId="10BD7639">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（8）电子归档章</w:t>
      </w:r>
    </w:p>
    <w:p w14:paraId="14148D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支持对电子归档文件加盖电子归档章；提供多种归档章样式选择，样式包括3×2、4×1、2×2；</w:t>
      </w:r>
    </w:p>
    <w:p w14:paraId="4CD0BE1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支持选择填充著录项到对应归档章空格内；</w:t>
      </w:r>
    </w:p>
    <w:p w14:paraId="3338293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支持选择归档章字体、字号、颜色、加盖位置；</w:t>
      </w:r>
    </w:p>
    <w:p w14:paraId="357A4E9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支持删除现有归档章重新加盖。</w:t>
      </w:r>
    </w:p>
    <w:p w14:paraId="0D874C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数据检查：支持对上传的档案数据进行档案完整性、有效性检测，若出现错、漏情况，给予补充提醒，如卷号、件号跳号，附件未挂接等。</w:t>
      </w:r>
    </w:p>
    <w:p w14:paraId="4356283E">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3.档案长期保存</w:t>
      </w:r>
    </w:p>
    <w:p w14:paraId="18668649">
      <w:pPr>
        <w:spacing w:line="440" w:lineRule="exact"/>
        <w:ind w:firstLine="420" w:firstLineChars="200"/>
        <w:rPr>
          <w:rFonts w:hint="eastAsia" w:ascii="宋体" w:hAnsi="宋体" w:cs="宋体"/>
          <w:color w:val="auto"/>
          <w:szCs w:val="21"/>
          <w:highlight w:val="none"/>
        </w:rPr>
      </w:pPr>
      <w:bookmarkStart w:id="232" w:name="_Toc103162443"/>
      <w:bookmarkEnd w:id="232"/>
      <w:bookmarkStart w:id="233" w:name="_Toc103162694"/>
      <w:bookmarkEnd w:id="233"/>
      <w:bookmarkStart w:id="234" w:name="_Toc103162934"/>
      <w:bookmarkEnd w:id="234"/>
      <w:bookmarkStart w:id="235" w:name="_Toc103162822"/>
      <w:bookmarkEnd w:id="235"/>
      <w:bookmarkStart w:id="236" w:name="_Toc103164491"/>
      <w:bookmarkEnd w:id="236"/>
      <w:bookmarkStart w:id="237" w:name="_Toc103162561"/>
      <w:bookmarkEnd w:id="237"/>
      <w:bookmarkStart w:id="238" w:name="_Toc9115"/>
      <w:bookmarkStart w:id="239" w:name="_Toc911"/>
      <w:bookmarkStart w:id="240" w:name="_Toc8694"/>
      <w:bookmarkStart w:id="241" w:name="_Toc103164502"/>
      <w:bookmarkStart w:id="242" w:name="_Toc4300"/>
      <w:bookmarkStart w:id="243" w:name="_Toc10330"/>
      <w:bookmarkStart w:id="244" w:name="_Toc31558"/>
      <w:r>
        <w:rPr>
          <w:rFonts w:hint="eastAsia" w:ascii="宋体" w:hAnsi="宋体" w:cs="宋体"/>
          <w:color w:val="auto"/>
          <w:szCs w:val="21"/>
          <w:highlight w:val="none"/>
        </w:rPr>
        <w:t>对档案数据定期自动备份，确保档案数据长期有效。</w:t>
      </w:r>
    </w:p>
    <w:p w14:paraId="4A4C563D">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4.档案鉴定与处置</w:t>
      </w:r>
    </w:p>
    <w:p w14:paraId="020B1C4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保管期限鉴定：对保管期限到期的档案进行鉴定。</w:t>
      </w:r>
    </w:p>
    <w:p w14:paraId="163C186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档案密级鉴定：用户可以定期对档案的密级进行鉴定，以便确认档案是否继续涉密。</w:t>
      </w:r>
    </w:p>
    <w:p w14:paraId="1C4223F1">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5.档案利用</w:t>
      </w:r>
      <w:bookmarkEnd w:id="238"/>
      <w:bookmarkEnd w:id="239"/>
      <w:bookmarkEnd w:id="240"/>
      <w:bookmarkEnd w:id="241"/>
      <w:bookmarkEnd w:id="242"/>
      <w:bookmarkEnd w:id="243"/>
      <w:bookmarkEnd w:id="244"/>
    </w:p>
    <w:p w14:paraId="7E1EA8C3">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（1）档案查询检索</w:t>
      </w:r>
    </w:p>
    <w:p w14:paraId="1603E07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A.档案单库检索</w:t>
      </w:r>
    </w:p>
    <w:p w14:paraId="5A6B440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支持选择不同著录项筛选检索范围，包括实体分类号+案卷号组合检索、案卷号+运算符检索、著录项检索、附件元数据项检索；</w:t>
      </w:r>
    </w:p>
    <w:p w14:paraId="00806A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支持选择模糊或精确的字段匹配方式；</w:t>
      </w:r>
    </w:p>
    <w:p w14:paraId="2934569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支持对检索结果进行二次检索，精准定位；</w:t>
      </w:r>
    </w:p>
    <w:p w14:paraId="69DEEE9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支持针对某年或某部门下档案进行检索，进一步缩小范围；</w:t>
      </w:r>
    </w:p>
    <w:p w14:paraId="77A3BCC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支持筛选结果展示案卷级档案、文件级档案或二者同时显示；</w:t>
      </w:r>
    </w:p>
    <w:p w14:paraId="5ADE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支持筛选条件设置对有电子附件或无电子附件的条目进行过滤，过滤方式精准到不同附件格式类型，如文本文件、图像文件、音频文件、视频文件、其他文件等。</w:t>
      </w:r>
    </w:p>
    <w:p w14:paraId="647CB8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B.档案全库检索</w:t>
      </w:r>
    </w:p>
    <w:p w14:paraId="0C038B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对于系统内所有档案进行检索，支持通过档案表目录树限制查询范围；</w:t>
      </w:r>
    </w:p>
    <w:p w14:paraId="5F6D83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支持对著录项字段、密级、保管期限等字段组合检索；</w:t>
      </w:r>
    </w:p>
    <w:p w14:paraId="4C22BDE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支持筛选结果展示的档案类型，包括案卷级档案、文件级档案或二者同时显示。</w:t>
      </w:r>
    </w:p>
    <w:p w14:paraId="35C20D2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C.全文检索：支持对上传pdf、doc、docx、xls、xlsx、txt、jpg、jpeg、png、webp、svg、tif、tiff等常用格式文件进行全文检索，支持对提取全文进行编辑调整及对全文内容进行检索。</w:t>
      </w:r>
    </w:p>
    <w:p w14:paraId="1911BAF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D.档案条目同卷查询：可实现仅展示所选条目同卷的所有案卷和文件，方便打印卷内目录，同时方便查找同卷档案，并支持在此基础上进行精准二次检索。</w:t>
      </w:r>
    </w:p>
    <w:p w14:paraId="346269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E.档案条目同实体分类号查询：可实现仅展示所选条目同实体分类号的所有案卷或文件，方便查找同类档案，并支持在此基础上进行精准二次检索。</w:t>
      </w:r>
    </w:p>
    <w:p w14:paraId="56E54983">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（2）档案借阅</w:t>
      </w:r>
    </w:p>
    <w:p w14:paraId="5529E24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支持档案管理人员对线上借阅的内容进行授权，借阅条目下的电子附件。支持设定电子附件借阅期限，借阅到期后，文件下载链接自动失效作废；</w:t>
      </w:r>
    </w:p>
    <w:p w14:paraId="126E044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支持档案管理人员对线下借阅的内容进行在线登记借阅及归还。</w:t>
      </w:r>
    </w:p>
    <w:p w14:paraId="0078BFD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（3）档案信息图谱：支持将包含固定内在联系的档案，通过信息图谱的方式进行关联，方便相关档案的关联查询和利用。</w:t>
      </w:r>
    </w:p>
    <w:p w14:paraId="3DCCF90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■（4）附件打印</w:t>
      </w:r>
    </w:p>
    <w:p w14:paraId="396230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支持对附件全部打印，或挑选所需页面打印；</w:t>
      </w:r>
    </w:p>
    <w:p w14:paraId="77058A4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支持对打印页面添加文字或图片水印，水印样式可自定义；</w:t>
      </w:r>
    </w:p>
    <w:p w14:paraId="7D343B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支持附件通过画笔、矩形框、设置任意颜色方式进行遮盖打印，以及文件显示缩放的操作；</w:t>
      </w:r>
    </w:p>
    <w:p w14:paraId="774DA9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支持遮盖撤回操作；</w:t>
      </w:r>
    </w:p>
    <w:p w14:paraId="5FEA1F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支持对多页pdf文件直接点击到下一页或跳转到固定某一页；</w:t>
      </w:r>
    </w:p>
    <w:p w14:paraId="209E377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支持导出指定页。</w:t>
      </w:r>
    </w:p>
    <w:p w14:paraId="3D18B6E7">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（5）档案批量导出</w:t>
      </w:r>
    </w:p>
    <w:p w14:paraId="3EC7CB8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条目导出：支持条目信息导出为Excel表格，表格内包含当前档案表的所有著录项；支持选择导出条目范围为当前选中条目、当前类目下所有条目、当前类目及子类目下所有条目以及档案表内所有条目。</w:t>
      </w:r>
    </w:p>
    <w:p w14:paraId="3C8E88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附件导出：支持将档案条目上挂接的所有附件打包下载；下载时支持下载原文件，或添加文字、图片水印后导出；下载的附件支持按照所属的档案条目存放至不同的子文件夹中，命名方式可自行组合；支持选择导出附件范围为当前选中条目、当前类目下所有条目、当前类目及子类目下所有条目以及档案表内所有条目。</w:t>
      </w:r>
    </w:p>
    <w:p w14:paraId="072186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■（6）格式转换</w:t>
      </w:r>
    </w:p>
    <w:p w14:paraId="5FBAF8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支持文本类附件转换为PDF，支持pdf转换为双层pdf，支持图像类附件转换为TIFF、PNG、JPG。格式转换后，原格式附件可选是否保留。</w:t>
      </w:r>
    </w:p>
    <w:p w14:paraId="343349D1">
      <w:pPr>
        <w:spacing w:line="440" w:lineRule="exact"/>
        <w:ind w:firstLine="422" w:firstLineChars="200"/>
        <w:outlineLvl w:val="4"/>
        <w:rPr>
          <w:rFonts w:hint="eastAsia" w:ascii="宋体" w:hAnsi="宋体" w:cs="宋体"/>
          <w:b/>
          <w:color w:val="auto"/>
          <w:szCs w:val="21"/>
          <w:highlight w:val="none"/>
        </w:rPr>
      </w:pPr>
      <w:bookmarkStart w:id="245" w:name="_Toc21010"/>
      <w:bookmarkStart w:id="246" w:name="_Toc9046"/>
      <w:bookmarkStart w:id="247" w:name="_Toc3034"/>
      <w:bookmarkStart w:id="248" w:name="_Toc25267"/>
      <w:bookmarkStart w:id="249" w:name="_Toc29400"/>
      <w:bookmarkStart w:id="250" w:name="_Toc32276"/>
      <w:bookmarkStart w:id="251" w:name="_Toc103164505"/>
      <w:r>
        <w:rPr>
          <w:rFonts w:hint="eastAsia" w:ascii="宋体" w:hAnsi="宋体" w:cs="宋体"/>
          <w:b/>
          <w:color w:val="auto"/>
          <w:szCs w:val="21"/>
          <w:highlight w:val="none"/>
        </w:rPr>
        <w:t>6.库房管理</w:t>
      </w:r>
    </w:p>
    <w:p w14:paraId="4AC34E8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（1）库房管理：可以添加、修改和删除库房，配置虚拟库房，分区，密集架及排架相关信息。</w:t>
      </w:r>
    </w:p>
    <w:p w14:paraId="3484DE7B">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（2）排架设置管理</w:t>
      </w:r>
    </w:p>
    <w:p w14:paraId="47B0BF5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添加库区：可增删改库房以及库房内的区域，以目录树的形式展示，一级目录为库房，二级目录为库房内区域，最多只有两个层级，只能选中二级目录，一级库房目录无法选中。每次进入该模块默认选中第一个库房的第一个区域。</w:t>
      </w:r>
    </w:p>
    <w:p w14:paraId="41CAA9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排架展示：点击进入排架，可以打开排架详情页，排架展示3类内容，排架名称，容量是否已满，以及该排架存储的门类信息。</w:t>
      </w:r>
    </w:p>
    <w:p w14:paraId="7258F91C">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（3）档案上架管理：</w:t>
      </w:r>
    </w:p>
    <w:p w14:paraId="764912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可选择权限范围内的全宗和门类，管理模式的选项随门类的变化而变化，默认选择第一个，门类未选时，管理模式下拉为空。</w:t>
      </w:r>
    </w:p>
    <w:p w14:paraId="37F4BD7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自动存址：档案上架之后库房管理模块中存址记录自动对应到档案表“存址”字段，后续库房管理排架位置发生变化，存址字段值需跟着发生变化。</w:t>
      </w:r>
    </w:p>
    <w:p w14:paraId="587A6241">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（4）档案下架管理</w:t>
      </w:r>
    </w:p>
    <w:p w14:paraId="4383CA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单文件下架：支持单个档案下架。</w:t>
      </w:r>
    </w:p>
    <w:p w14:paraId="5B8089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多文件下架：支持多个档案批量下架。被下架的档案中有档案已被下架（不处于已入库状态），则下架失败，提示“下架失败，档案已被下架”。</w:t>
      </w:r>
    </w:p>
    <w:p w14:paraId="15981618">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（5）移库管理</w:t>
      </w:r>
    </w:p>
    <w:p w14:paraId="4133BC5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可以通过单选或者批量选择，完成档案移库的信息操作。若目标库有冲突，则退回原库。</w:t>
      </w:r>
    </w:p>
    <w:p w14:paraId="3961FEAF">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7．系统设置</w:t>
      </w:r>
      <w:bookmarkEnd w:id="245"/>
      <w:bookmarkEnd w:id="246"/>
      <w:bookmarkEnd w:id="247"/>
      <w:bookmarkEnd w:id="248"/>
      <w:bookmarkEnd w:id="249"/>
      <w:bookmarkEnd w:id="250"/>
      <w:bookmarkEnd w:id="251"/>
    </w:p>
    <w:p w14:paraId="4B582CD1">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（1）权限管理</w:t>
      </w:r>
    </w:p>
    <w:p w14:paraId="265CC5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实现系统用户管理和授权管理，包括部门与用户管理、角色与授权管理。</w:t>
      </w:r>
    </w:p>
    <w:p w14:paraId="504911B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用户管理：维护系统用户列表，集中管理系统用户，支持对用户进行添加、编辑、禁用、启用、移交权限、删除及检索操作；支持单个新增部门用户或批量导入部门用户。</w:t>
      </w:r>
    </w:p>
    <w:p w14:paraId="5A7EBD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角色管理：维护系统角色和数据角色，通过设置不同的权限满足档案馆对三员（系统管理员、安全保密管理员和安全审计员）分立的需求。支持添加、修改、删除、搜索角色；支持以系统范围或者部门范围进行授权。</w:t>
      </w:r>
    </w:p>
    <w:p w14:paraId="52416080">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（2）著录模板设置</w:t>
      </w:r>
    </w:p>
    <w:p w14:paraId="0FA72F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支持人性化自定义档案文件、案卷著录模板，实现文书、声像、实物、新媒体等不同类型档案的个性化著录字段管理；</w:t>
      </w:r>
    </w:p>
    <w:p w14:paraId="65992F1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支持自由拖拽著录模板组件列表，并实时预览模板样式；</w:t>
      </w:r>
    </w:p>
    <w:p w14:paraId="5497DE5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支持对组件进行效果可视化编辑，包括标题、输入框类型、文字对齐方式、校验规则等。</w:t>
      </w:r>
    </w:p>
    <w:p w14:paraId="4D1E810F">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（3）打印模板设置</w:t>
      </w:r>
    </w:p>
    <w:p w14:paraId="4CACE8E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支持人性化自定义打印模板样式；</w:t>
      </w:r>
    </w:p>
    <w:p w14:paraId="10DB41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支持对打印目录样式进行效果可视化编辑，包括模板名称、页面设置、页面标题、页面边距、显示内容等。</w:t>
      </w:r>
    </w:p>
    <w:p w14:paraId="7F8CCD93">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（4）词典管理</w:t>
      </w:r>
    </w:p>
    <w:p w14:paraId="16C7337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用于著录项使用下拉单选组件框设置。支持对词典进行添加、修改、删除和检索操作；</w:t>
      </w:r>
    </w:p>
    <w:p w14:paraId="78BE7E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支持对选项值进行添加、修改、拖拽排序、删除操作。</w:t>
      </w:r>
    </w:p>
    <w:p w14:paraId="7B4D6928">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（5）工作流设置</w:t>
      </w:r>
    </w:p>
    <w:p w14:paraId="2514AA9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系统提供工作流设置引擎，针对不同业务流程和审批对象，分别设置归档初始档案表和归档目标档案表，将复杂、繁琐的归档业务大流程分解为清晰、简洁的小流程。通过预归档工作流设置，二级部门兼职档案员在初始档案表内完成整理编目工作后提请移交归档申请，档案馆专职档案员审核归档的条目、附件，通过审核后即可正式归档到目标库。</w:t>
      </w:r>
    </w:p>
    <w:p w14:paraId="1D3E464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预归档工作流设置：支持自动展示系统全部档案表及档案表所属分类，仅需设置归档目标档案库。</w:t>
      </w:r>
    </w:p>
    <w:p w14:paraId="457473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移交归档及审核入库：档案信息录入到预归档库中后，由兼职档案员提请移交归档申请，专职档案员进行审核，可批量审核通过或驳回；通过审核的档案信息进入到目标档案库。</w:t>
      </w:r>
    </w:p>
    <w:p w14:paraId="72771C71">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（6）日志管理</w:t>
      </w:r>
    </w:p>
    <w:p w14:paraId="4AB6671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支持档案操作日志和用户日志管理；</w:t>
      </w:r>
    </w:p>
    <w:p w14:paraId="1607F67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支持记录档案表下案卷/文件增删改查等所有操作，记录档案的全生命周期；</w:t>
      </w:r>
    </w:p>
    <w:p w14:paraId="0ACB291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支持记录用户添加、修改及对系统管理内容操作；</w:t>
      </w:r>
    </w:p>
    <w:p w14:paraId="755F63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支持对日志按照年度、账号、部门、操作类型等进行筛选；</w:t>
      </w:r>
    </w:p>
    <w:p w14:paraId="0240425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支持导出日志信息。</w:t>
      </w:r>
    </w:p>
    <w:p w14:paraId="07CDCE5B">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（7）档案统计</w:t>
      </w:r>
    </w:p>
    <w:p w14:paraId="74C8326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支持当前档案表基本信息统计、保管期限统计、密级统计，支持统计时间显示；</w:t>
      </w:r>
    </w:p>
    <w:p w14:paraId="491B67D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支持统计系统所有类别、单个类别或多个类别档案数量，包括新增数量、总数量、附件数量等；</w:t>
      </w:r>
    </w:p>
    <w:p w14:paraId="0758123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支持统计结果导出Excel表；</w:t>
      </w:r>
    </w:p>
    <w:p w14:paraId="1D6B95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支持所有档案按密级程度进行数量统计，并可以单选或多选某类档案表进行统计；</w:t>
      </w:r>
    </w:p>
    <w:p w14:paraId="149ADC8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支持导出统计结果Excel表。</w:t>
      </w:r>
    </w:p>
    <w:p w14:paraId="4B2239D0">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（8）系统状态</w:t>
      </w:r>
    </w:p>
    <w:p w14:paraId="51B136F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支持系统存储空间查看，包括目前已使用存储空间走势和已用空间显示，从而预判所需系统存储空间数量。</w:t>
      </w:r>
    </w:p>
    <w:p w14:paraId="7D77FD16">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（9）系统参数设置</w:t>
      </w:r>
    </w:p>
    <w:p w14:paraId="6C9CB75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支持对档号生成规则进行设置；支持自动生成档号;</w:t>
      </w:r>
    </w:p>
    <w:p w14:paraId="5E2C57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支持对附件元数据进行设置，包括文件名、初始文件名、文件类型、文件大小、上传用户、上传地址等信息；支持在档案附件详情中直接查看元数据信息;</w:t>
      </w:r>
    </w:p>
    <w:p w14:paraId="23F885E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支持对类目层级进行设置，可自由设置层级数量;</w:t>
      </w:r>
    </w:p>
    <w:p w14:paraId="5F9B0F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支持设置自动提取全文或手动提取全文；支持设置全文提取的档案表范围及文件类型；支持提取pdf、doc、docx、xls、xlsx、txt、jpg、jpeg、png、webp、svg、tif、tiff格式电子附件全文;</w:t>
      </w:r>
    </w:p>
    <w:p w14:paraId="609E5B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支持批量挂接设置，系统支持使用多种挂接规则，支持添加、修改、删除挂接规则;</w:t>
      </w:r>
    </w:p>
    <w:p w14:paraId="163EB2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设置系统安全管理模式，包括密码保护、IP保护等，支持设置IP地址黑名单。系统密码复杂度要求如下：不得少于8位；数字、大写字母、小写字母、特殊符号，必须四选三；不可将用户名作为密码，或将用户名作为密码的一部分；不可以有重复字符，例如111、aaa等；不可以有连续字符，例如abc、123、432等;</w:t>
      </w:r>
    </w:p>
    <w:p w14:paraId="5B0D021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=7\*GB3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⑦</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支持数据库自动备份、手动备份操作，对生成的备份数据库进行恢复或删除等管理操作。定期自动备份档案数据，支持自定义备份策略，备份周期支持每周或每月一次，确保档案数据安全。</w:t>
      </w:r>
    </w:p>
    <w:p w14:paraId="0121E1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=8\*GB3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⑧</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支持系统主题设置;</w:t>
      </w:r>
    </w:p>
    <w:p w14:paraId="3FB93B5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=9\*GB3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⑨</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导出文件时的图片和文字水印设置，样式主要包括文字内容、位置、角度、透明度、尺寸、间距等。支持系统附件浏览界面的安全浏览水印设置，支持设置水印文字为用户账号加当前日期的组合形式或其他自定义文字内容，支持设置水印文字的透明度、尺寸和间距;</w:t>
      </w:r>
    </w:p>
    <w:p w14:paraId="6F3D6F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=10\*GB3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⑩</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提供索引管理，支持系统管理员查看索引状态，筛选并处理异常索引。</w:t>
      </w:r>
    </w:p>
    <w:p w14:paraId="52B7B415">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（10）打印水印设置</w:t>
      </w:r>
    </w:p>
    <w:p w14:paraId="7AA3A94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支持附件打印水印设置为无水印、文字水印、照片水印；</w:t>
      </w:r>
    </w:p>
    <w:p w14:paraId="09F05D0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支持对水印的位置、内容、透明度、角度、大小等参数进行调整。</w:t>
      </w:r>
    </w:p>
    <w:p w14:paraId="67B39E2C">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8．辅助功能</w:t>
      </w:r>
    </w:p>
    <w:p w14:paraId="291C75F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帮助中心：在帮助中心提供操作视频、操作文档帮助用户辅助学习，方便新进部门兼职档案员及不熟悉功能操作的人员学习。</w:t>
      </w:r>
    </w:p>
    <w:p w14:paraId="3F6819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版本升级通知：支持快速查看系统最近升级的版本功能列表。支持查看当前系统所在版本号。</w:t>
      </w:r>
    </w:p>
    <w:p w14:paraId="280695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任务列表提示：支持通过任务列表展示面板提示用户，当前批量挂接以及附件全文提取的进度、完成情况。对处理失败的情况，支持快速进入到任务中心页面，重新开始此任务。</w:t>
      </w:r>
    </w:p>
    <w:p w14:paraId="29F0B99D">
      <w:pPr>
        <w:spacing w:line="440" w:lineRule="exact"/>
        <w:ind w:firstLine="422" w:firstLineChars="200"/>
        <w:outlineLvl w:val="3"/>
        <w:rPr>
          <w:rFonts w:hint="eastAsia" w:ascii="宋体" w:hAnsi="宋体" w:cs="宋体"/>
          <w:b/>
          <w:color w:val="auto"/>
          <w:szCs w:val="21"/>
          <w:highlight w:val="none"/>
        </w:rPr>
      </w:pPr>
      <w:bookmarkStart w:id="252" w:name="_Toc18560"/>
      <w:bookmarkStart w:id="253" w:name="_Toc20692"/>
      <w:bookmarkStart w:id="254" w:name="_Toc11916"/>
      <w:bookmarkStart w:id="255" w:name="_Toc8631"/>
      <w:r>
        <w:rPr>
          <w:rFonts w:hint="eastAsia" w:ascii="宋体" w:hAnsi="宋体" w:cs="宋体"/>
          <w:b/>
          <w:color w:val="auto"/>
          <w:szCs w:val="21"/>
          <w:highlight w:val="none"/>
        </w:rPr>
        <w:t>（二）智能功能</w:t>
      </w:r>
      <w:bookmarkEnd w:id="252"/>
      <w:bookmarkEnd w:id="253"/>
      <w:bookmarkEnd w:id="254"/>
      <w:bookmarkEnd w:id="255"/>
    </w:p>
    <w:p w14:paraId="074015BB">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1.OCR全文检索</w:t>
      </w:r>
    </w:p>
    <w:p w14:paraId="36BA94E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基于内置的OCR、自然语言理解等人工智能技术，支持对上传的纯图PDF文件、图片文件进行OCR识别后提取全文信息，实现对全文内容进行检索；支持高亮显示全文检索关键词结果，迅速定位到相关的档案文件。</w:t>
      </w:r>
    </w:p>
    <w:p w14:paraId="799989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2.双层PDF格式转换</w:t>
      </w:r>
    </w:p>
    <w:p w14:paraId="0D1DF5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系统支持将纯图PDF格式的文件转换成双层PDF格式，充分挖掘档案信息资源。</w:t>
      </w:r>
    </w:p>
    <w:p w14:paraId="3AC644C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3.OCR引擎本地化部署</w:t>
      </w:r>
    </w:p>
    <w:p w14:paraId="6B0EB1B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系统需自带OCR识别引擎，支持本地化部署，无需连接外网即可在局域网内部实现OCR识别，标准字符识别率高达95%以上。同时OCR识别引擎的运行不依赖于GPU显卡设备，通过CPU即可进行识别。</w:t>
      </w:r>
    </w:p>
    <w:p w14:paraId="4297AE4A">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sym w:font="Wingdings 2" w:char="F0EA"/>
      </w:r>
      <w:r>
        <w:rPr>
          <w:rFonts w:hint="eastAsia" w:ascii="宋体" w:hAnsi="宋体" w:cs="宋体"/>
          <w:b/>
          <w:color w:val="auto"/>
          <w:szCs w:val="21"/>
          <w:highlight w:val="none"/>
        </w:rPr>
        <w:t>（三）非结构化数据解析系统</w:t>
      </w:r>
    </w:p>
    <w:p w14:paraId="75A111C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1.非结构化数据解析子系统需集成在档案管理系统，实现一站式操作。支持对档案数字化PDF文件进行自动识别，实现电子文件、数据及档案条目信息自动著录及导入。</w:t>
      </w:r>
    </w:p>
    <w:p w14:paraId="2120C87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2.针对数字化后的纸质档案PDF文件，对文件内文号、题名、日期等信息进行自动抽取并填入档案著录表单中，实现PDF文件的非结构化数据解析的智能著录。</w:t>
      </w:r>
    </w:p>
    <w:p w14:paraId="586DA5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3.OA系统的上级来文以及校级的红头文件，对文件内文号、题名、日期等信息进行自动抽取并填入档案著录表单中，实现电子文件的非结构化数据解析的智能著录。</w:t>
      </w:r>
    </w:p>
    <w:p w14:paraId="7286ECF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4.著录审核：对非结构化数据解析著录后的档案信息，与PDF文件进行核对、修正并审核通过。</w:t>
      </w:r>
    </w:p>
    <w:p w14:paraId="6E521B5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5.支持记录智能著录的历史任务，并能在任务中心筛选查看智能著录附件的附件名、状态、开始时间、失败原因等。</w:t>
      </w:r>
    </w:p>
    <w:p w14:paraId="6E91C12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6.支持定制非结构化数据解析的智能著录模板，可根据学校实际业务情况实现红头文件、专利档案等标准版式类型档案的智能著录。</w:t>
      </w:r>
    </w:p>
    <w:p w14:paraId="6B406909">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（四）档案远程利用系统</w:t>
      </w:r>
    </w:p>
    <w:p w14:paraId="0EF5469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档案远程利用系统基于立档单位门户网站或微信小程序为档案利用者提供档案远程查询预约服务，解决档案利用者需要耗费大量时间前往现场或电话、邮件、传真等方式进行预约利用的不便捷性，提升档案服务效率，提高档案服务水平。</w:t>
      </w:r>
    </w:p>
    <w:p w14:paraId="4833EF90">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1.用户前台系统</w:t>
      </w:r>
    </w:p>
    <w:p w14:paraId="0CB8ABA3">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（1）远程申请</w:t>
      </w:r>
    </w:p>
    <w:p w14:paraId="618503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支持三种利用模式：现场查档预约、申请档案电子副本、申请档案纸质副本。</w:t>
      </w:r>
    </w:p>
    <w:p w14:paraId="0ECB299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远程申请：支持远程利用者远程填写档案利用申请业务。</w:t>
      </w:r>
    </w:p>
    <w:p w14:paraId="465EF55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实名认证：支持在线认证用户身份，上传核实身份信息。</w:t>
      </w:r>
    </w:p>
    <w:p w14:paraId="41830D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我的申请：支持查看申请数据及业务办理结果、物流单号等。</w:t>
      </w:r>
    </w:p>
    <w:p w14:paraId="5D1AEB4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消息通知：该功能支持显示实名认证、业务状态变更等消息及状态。</w:t>
      </w:r>
    </w:p>
    <w:p w14:paraId="2B43CC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=6\*GB3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业务评价：支持对档案利用效果进行反馈。</w:t>
      </w:r>
    </w:p>
    <w:p w14:paraId="085BA71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EA"/>
      </w:r>
      <w:r>
        <w:rPr>
          <w:rFonts w:hint="eastAsia" w:ascii="宋体" w:hAnsi="宋体" w:cs="宋体"/>
          <w:color w:val="auto"/>
          <w:szCs w:val="21"/>
          <w:highlight w:val="none"/>
        </w:rPr>
        <w:t>（2）微信小程序</w:t>
      </w:r>
    </w:p>
    <w:p w14:paraId="2882964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在微信中利用小程序进行查档业务申请、在线阅览等操作。</w:t>
      </w:r>
    </w:p>
    <w:p w14:paraId="644E5FF2">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（3）我的借阅</w:t>
      </w:r>
    </w:p>
    <w:p w14:paraId="211DF1B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查档列表：支持查看申请预约状态；系统显示申请状态、申请时间、业务名称等信息；用户可进行查看操作。</w:t>
      </w:r>
    </w:p>
    <w:p w14:paraId="0C6CC70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在线阅览：用户可在系统中通过链接的形式直接查看部分格式的档案。</w:t>
      </w:r>
    </w:p>
    <w:p w14:paraId="18760D3D">
      <w:pPr>
        <w:spacing w:line="440" w:lineRule="exact"/>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2.管理员后台系统</w:t>
      </w:r>
    </w:p>
    <w:p w14:paraId="66535072">
      <w:pPr>
        <w:spacing w:line="440" w:lineRule="exact"/>
        <w:ind w:firstLine="420" w:firstLineChars="200"/>
        <w:outlineLvl w:val="5"/>
        <w:rPr>
          <w:rFonts w:hint="eastAsia" w:ascii="宋体" w:hAnsi="宋体" w:cs="宋体"/>
          <w:color w:val="auto"/>
          <w:szCs w:val="21"/>
          <w:highlight w:val="none"/>
        </w:rPr>
      </w:pPr>
      <w:r>
        <w:rPr>
          <w:rFonts w:hint="eastAsia" w:ascii="宋体" w:hAnsi="宋体" w:cs="宋体"/>
          <w:color w:val="auto"/>
          <w:szCs w:val="21"/>
          <w:highlight w:val="none"/>
        </w:rPr>
        <w:t>（1）远程利用管理</w:t>
      </w:r>
    </w:p>
    <w:p w14:paraId="6F8A1D4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业务设置：系统支持新增、删除及管理申请业务模块。</w:t>
      </w:r>
    </w:p>
    <w:p w14:paraId="03BF8F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实名认证审核：可了解远程利用用户端注册情况，同时审核远程利用用户端发起的实名认证，只有实名认证审核通过的用户才可进行业务办理。</w:t>
      </w:r>
    </w:p>
    <w:p w14:paraId="5C98967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业务审核：支持接收远程利用用户端的业务申请，并对业务申请进行审核、办理和查看记录。</w:t>
      </w:r>
    </w:p>
    <w:p w14:paraId="1D445CC2">
      <w:pPr>
        <w:spacing w:line="440" w:lineRule="exact"/>
        <w:ind w:firstLine="422" w:firstLineChars="200"/>
        <w:outlineLvl w:val="5"/>
        <w:rPr>
          <w:rFonts w:hint="eastAsia" w:ascii="宋体" w:hAnsi="宋体" w:cs="宋体"/>
          <w:b/>
          <w:color w:val="auto"/>
          <w:szCs w:val="21"/>
          <w:highlight w:val="none"/>
        </w:rPr>
      </w:pPr>
      <w:r>
        <w:rPr>
          <w:rFonts w:hint="eastAsia" w:ascii="宋体" w:hAnsi="宋体" w:cs="宋体"/>
          <w:b/>
          <w:color w:val="auto"/>
          <w:szCs w:val="21"/>
          <w:highlight w:val="none"/>
        </w:rPr>
        <w:t>（2）系统设置</w:t>
      </w:r>
    </w:p>
    <w:p w14:paraId="572F90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=1\*GB3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日志管理：支持实现记录登录时间、IP地址、用户信息、操作类型、操作内容等信息记录；支持根据日期筛选日志。</w:t>
      </w:r>
    </w:p>
    <w:p w14:paraId="231ABB8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=2\*GB3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统计分析：支持对申请办理业务的使用效果进行统计，并形成统图计展示。</w:t>
      </w:r>
    </w:p>
    <w:p w14:paraId="7A298D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=3\*GB3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发布公告：支持新建各类公告，展示在远程利用前台系统。</w:t>
      </w:r>
    </w:p>
    <w:p w14:paraId="13B91A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=4\*GB3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常见问题设置：支持在线设置档案利用常见问答，用户可在线查看常见问答。</w:t>
      </w:r>
    </w:p>
    <w:p w14:paraId="2D10B16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=5\*GB3</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预约设置：支持对现场预约的时间段及开放预约的日期进行管理。</w:t>
      </w:r>
    </w:p>
    <w:p w14:paraId="774E1D53">
      <w:pPr>
        <w:spacing w:line="440" w:lineRule="exact"/>
        <w:ind w:firstLine="420" w:firstLineChars="200"/>
        <w:outlineLvl w:val="2"/>
        <w:rPr>
          <w:rFonts w:hint="eastAsia" w:ascii="宋体" w:hAnsi="宋体" w:cs="宋体"/>
          <w:color w:val="auto"/>
          <w:szCs w:val="21"/>
          <w:highlight w:val="none"/>
        </w:rPr>
      </w:pPr>
      <w:bookmarkStart w:id="256" w:name="_Toc29428"/>
      <w:r>
        <w:rPr>
          <w:rFonts w:hint="eastAsia" w:ascii="宋体" w:hAnsi="宋体" w:cs="宋体"/>
          <w:color w:val="auto"/>
          <w:szCs w:val="21"/>
          <w:highlight w:val="none"/>
        </w:rPr>
        <w:t>六、系统集成</w:t>
      </w:r>
      <w:bookmarkEnd w:id="256"/>
    </w:p>
    <w:p w14:paraId="3E5EAB7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根据学校实际需求，投标系统供应商免费完成与学校综合服务门户（包括PC端门户和移动端掌上蔚园APP，以下简称门户）的身份、数据、消息等的集成对接，具体包括以下内容。</w:t>
      </w:r>
    </w:p>
    <w:p w14:paraId="1297B4F1">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1.统一身份认证集成</w:t>
      </w:r>
    </w:p>
    <w:p w14:paraId="30AEFE5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投标系统供应商根据校方提供的统一身份认证的对接规范，无条件地完成统一身份认证集成，实现用户从门户单点进入并登录投标系统，获取投标系统中该用户的完整权限。</w:t>
      </w:r>
    </w:p>
    <w:p w14:paraId="0FB296C8">
      <w:pPr>
        <w:spacing w:line="44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2.数据集成</w:t>
      </w:r>
    </w:p>
    <w:p w14:paraId="380769C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系统供应商根据校方指定的方式（API、表或中间库等）、格式（CSV、DAT、DBF、MDB或ODB++等）等要求，完成将投标系统的所有数据同步至学校指定的数据中心；投标系统供应商必须根据校方要求开放投标系统的数据库所有权限，提供投标系统的数据库地址、端口号、数据库类型、管理帐号及密码等信息，并提供完整的数据字典及投标业务系统技术人员联系方式；提供的数据不能加密。</w:t>
      </w:r>
    </w:p>
    <w:p w14:paraId="3EBF4A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（2）投标系统需要使用的用户基本信息等其他共享数据，必须从学校数据中心同步；投标供应商提出数据需求，根据学校提供数据的接入方式，完成将来自数据中心的共享数据接入至投标系统。</w:t>
      </w:r>
    </w:p>
    <w:p w14:paraId="70FCEA1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未完全列出的对接要求，在项目实施过程中由校方根据需求另行指定，投标供应商必须无条件服从，免费提供技术支持。所有对接操作均由投标供应商根据学校的要求操作完成，并负责保障对接部分的稳定运行及后期的维护。</w:t>
      </w:r>
    </w:p>
    <w:p w14:paraId="272682F9">
      <w:pPr>
        <w:spacing w:line="440" w:lineRule="exact"/>
        <w:ind w:firstLine="420" w:firstLineChars="200"/>
        <w:outlineLvl w:val="2"/>
        <w:rPr>
          <w:rFonts w:hint="eastAsia" w:ascii="宋体" w:hAnsi="宋体" w:cs="宋体"/>
          <w:color w:val="auto"/>
          <w:szCs w:val="21"/>
          <w:highlight w:val="none"/>
        </w:rPr>
      </w:pPr>
      <w:bookmarkStart w:id="257" w:name="_Toc19849"/>
      <w:r>
        <w:rPr>
          <w:rFonts w:hint="eastAsia" w:ascii="宋体" w:hAnsi="宋体" w:cs="宋体"/>
          <w:color w:val="auto"/>
          <w:szCs w:val="21"/>
          <w:highlight w:val="none"/>
        </w:rPr>
        <w:t>七、安全要求</w:t>
      </w:r>
      <w:bookmarkEnd w:id="257"/>
    </w:p>
    <w:p w14:paraId="2130FA5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1.采用HTTPs安全协议机制进行数据传输。提供完善的数据备份机制，保证系统的数据安全。</w:t>
      </w:r>
    </w:p>
    <w:p w14:paraId="3CD0E3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2.系统同步做好安全等规划、建设与使用，在项目验收时完成信息系统二级等保的定级、备案、测评等工作，并提供针对采购人的系统安全等级保护备案证明、测评报告等相关材料。</w:t>
      </w:r>
    </w:p>
    <w:p w14:paraId="0EB3D9BD">
      <w:pPr>
        <w:spacing w:line="440" w:lineRule="exact"/>
        <w:ind w:firstLine="420" w:firstLineChars="200"/>
        <w:outlineLvl w:val="2"/>
        <w:rPr>
          <w:rFonts w:hint="eastAsia" w:ascii="宋体" w:hAnsi="宋体" w:cs="宋体"/>
          <w:color w:val="auto"/>
          <w:szCs w:val="21"/>
          <w:highlight w:val="none"/>
        </w:rPr>
      </w:pPr>
      <w:bookmarkStart w:id="258" w:name="_Toc9171"/>
      <w:r>
        <w:rPr>
          <w:rFonts w:hint="eastAsia" w:ascii="宋体" w:hAnsi="宋体" w:cs="宋体"/>
          <w:color w:val="auto"/>
          <w:szCs w:val="21"/>
          <w:highlight w:val="none"/>
        </w:rPr>
        <w:t>八、兼容性要求</w:t>
      </w:r>
      <w:bookmarkEnd w:id="258"/>
    </w:p>
    <w:p w14:paraId="758B508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系统PC端和移动端均可通过Microsoft Edge、谷歌Chrome、360、火狐Firefox、Safari等主流浏览器直接访问，无需安装其他组件或插件。PC端和移动端界面须根据采购人要求定制。若移动端通过APP访问，则应与掌上蔚园对接，无需另外安装APP。</w:t>
      </w:r>
    </w:p>
    <w:p w14:paraId="5883A93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（备注：标</w:t>
      </w:r>
      <w:r>
        <w:rPr>
          <w:rFonts w:hint="eastAsia" w:ascii="宋体" w:hAnsi="宋体" w:cs="宋体"/>
          <w:color w:val="auto"/>
          <w:szCs w:val="21"/>
          <w:highlight w:val="none"/>
        </w:rPr>
        <w:sym w:font="Wingdings 2" w:char="F0EA"/>
      </w:r>
      <w:r>
        <w:rPr>
          <w:rFonts w:hint="eastAsia" w:ascii="宋体" w:hAnsi="宋体" w:cs="宋体"/>
          <w:color w:val="auto"/>
          <w:szCs w:val="21"/>
          <w:highlight w:val="none"/>
        </w:rPr>
        <w:t>项投标人需提供详细功能操作说明，以及功能截图展示作为技术支持资料。）</w:t>
      </w:r>
    </w:p>
    <w:p w14:paraId="35AD5600">
      <w:pPr>
        <w:spacing w:line="520" w:lineRule="exact"/>
        <w:rPr>
          <w:rFonts w:ascii="仿宋_GB2312" w:eastAsia="仿宋_GB2312"/>
          <w:color w:val="auto"/>
          <w:sz w:val="28"/>
          <w:szCs w:val="28"/>
          <w:highlight w:val="none"/>
        </w:rPr>
      </w:pPr>
    </w:p>
    <w:p w14:paraId="354010BF">
      <w:pPr>
        <w:pageBreakBefore/>
        <w:spacing w:before="162" w:beforeLines="50" w:after="162" w:afterLines="50"/>
        <w:jc w:val="center"/>
        <w:outlineLvl w:val="1"/>
        <w:rPr>
          <w:rFonts w:hint="eastAsia" w:ascii="宋体" w:hAnsi="宋体" w:cs="宋体"/>
          <w:b/>
          <w:color w:val="auto"/>
          <w:sz w:val="32"/>
          <w:szCs w:val="32"/>
          <w:highlight w:val="none"/>
        </w:rPr>
      </w:pPr>
      <w:bookmarkStart w:id="259" w:name="_Toc5833"/>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合同条款及格式（服务类）</w:t>
      </w:r>
      <w:bookmarkEnd w:id="259"/>
    </w:p>
    <w:p w14:paraId="69090F23">
      <w:pPr>
        <w:spacing w:line="400" w:lineRule="exact"/>
        <w:ind w:left="360"/>
        <w:jc w:val="center"/>
        <w:rPr>
          <w:b/>
          <w:color w:val="auto"/>
          <w:sz w:val="30"/>
          <w:szCs w:val="30"/>
          <w:highlight w:val="none"/>
        </w:rPr>
      </w:pPr>
    </w:p>
    <w:p w14:paraId="062CE4F6">
      <w:pPr>
        <w:spacing w:line="400" w:lineRule="exact"/>
        <w:ind w:left="360"/>
        <w:jc w:val="center"/>
        <w:rPr>
          <w:b/>
          <w:color w:val="auto"/>
          <w:sz w:val="30"/>
          <w:szCs w:val="30"/>
          <w:highlight w:val="none"/>
        </w:rPr>
      </w:pPr>
    </w:p>
    <w:p w14:paraId="0486EADF">
      <w:pPr>
        <w:spacing w:line="400" w:lineRule="exact"/>
        <w:jc w:val="center"/>
        <w:outlineLvl w:val="2"/>
        <w:rPr>
          <w:rFonts w:eastAsia="黑体"/>
          <w:b/>
          <w:color w:val="auto"/>
          <w:sz w:val="30"/>
          <w:szCs w:val="30"/>
          <w:highlight w:val="none"/>
        </w:rPr>
      </w:pPr>
      <w:bookmarkStart w:id="260" w:name="_Toc9369"/>
      <w:bookmarkStart w:id="261" w:name="_Toc449028946"/>
      <w:r>
        <w:rPr>
          <w:b/>
          <w:color w:val="auto"/>
          <w:sz w:val="30"/>
          <w:szCs w:val="30"/>
          <w:highlight w:val="none"/>
        </w:rPr>
        <w:t>合同协议书（</w:t>
      </w:r>
      <w:r>
        <w:rPr>
          <w:rFonts w:hint="eastAsia"/>
          <w:b/>
          <w:color w:val="auto"/>
          <w:sz w:val="30"/>
          <w:szCs w:val="30"/>
          <w:highlight w:val="none"/>
        </w:rPr>
        <w:t>参考</w:t>
      </w:r>
      <w:r>
        <w:rPr>
          <w:b/>
          <w:color w:val="auto"/>
          <w:sz w:val="30"/>
          <w:szCs w:val="30"/>
          <w:highlight w:val="none"/>
        </w:rPr>
        <w:t>格式）</w:t>
      </w:r>
      <w:bookmarkEnd w:id="260"/>
      <w:bookmarkEnd w:id="261"/>
    </w:p>
    <w:p w14:paraId="7967EBCF">
      <w:pPr>
        <w:spacing w:before="120" w:line="480" w:lineRule="auto"/>
        <w:ind w:left="960"/>
        <w:rPr>
          <w:color w:val="auto"/>
          <w:sz w:val="24"/>
          <w:highlight w:val="none"/>
        </w:rPr>
      </w:pPr>
    </w:p>
    <w:p w14:paraId="59A54B61">
      <w:pPr>
        <w:spacing w:before="120" w:line="480" w:lineRule="auto"/>
        <w:ind w:left="960"/>
        <w:rPr>
          <w:color w:val="auto"/>
          <w:sz w:val="24"/>
          <w:highlight w:val="none"/>
        </w:rPr>
      </w:pPr>
    </w:p>
    <w:p w14:paraId="478D3027">
      <w:pPr>
        <w:spacing w:before="120" w:line="480" w:lineRule="auto"/>
        <w:ind w:left="960"/>
        <w:rPr>
          <w:color w:val="auto"/>
          <w:sz w:val="24"/>
          <w:highlight w:val="none"/>
        </w:rPr>
      </w:pPr>
    </w:p>
    <w:p w14:paraId="183FB94C">
      <w:pPr>
        <w:spacing w:before="120" w:line="480" w:lineRule="auto"/>
        <w:ind w:left="960"/>
        <w:rPr>
          <w:color w:val="auto"/>
          <w:sz w:val="24"/>
          <w:highlight w:val="none"/>
        </w:rPr>
      </w:pPr>
    </w:p>
    <w:p w14:paraId="1F2FC78A">
      <w:pPr>
        <w:spacing w:before="120" w:line="480" w:lineRule="auto"/>
        <w:ind w:left="960"/>
        <w:rPr>
          <w:color w:val="auto"/>
          <w:sz w:val="24"/>
          <w:highlight w:val="none"/>
        </w:rPr>
      </w:pPr>
    </w:p>
    <w:p w14:paraId="22422179">
      <w:pPr>
        <w:spacing w:before="120" w:line="480" w:lineRule="auto"/>
        <w:ind w:left="960"/>
        <w:rPr>
          <w:color w:val="auto"/>
          <w:sz w:val="24"/>
          <w:highlight w:val="none"/>
        </w:rPr>
      </w:pPr>
    </w:p>
    <w:p w14:paraId="71556732">
      <w:pPr>
        <w:spacing w:before="120" w:line="480" w:lineRule="auto"/>
        <w:ind w:left="960"/>
        <w:rPr>
          <w:color w:val="auto"/>
          <w:sz w:val="24"/>
          <w:highlight w:val="none"/>
        </w:rPr>
      </w:pPr>
    </w:p>
    <w:p w14:paraId="063116D9">
      <w:pPr>
        <w:spacing w:before="120" w:line="480" w:lineRule="auto"/>
        <w:ind w:left="960"/>
        <w:rPr>
          <w:color w:val="auto"/>
          <w:sz w:val="24"/>
          <w:highlight w:val="none"/>
        </w:rPr>
      </w:pPr>
    </w:p>
    <w:p w14:paraId="323BF446">
      <w:pPr>
        <w:spacing w:before="120" w:line="480" w:lineRule="auto"/>
        <w:rPr>
          <w:color w:val="auto"/>
          <w:szCs w:val="21"/>
          <w:highlight w:val="none"/>
        </w:rPr>
      </w:pPr>
      <w:r>
        <w:rPr>
          <w:color w:val="auto"/>
          <w:szCs w:val="21"/>
          <w:highlight w:val="none"/>
        </w:rPr>
        <w:t xml:space="preserve">项目名称：    </w:t>
      </w:r>
    </w:p>
    <w:p w14:paraId="1C4DB6EC">
      <w:pPr>
        <w:spacing w:before="120" w:line="480" w:lineRule="auto"/>
        <w:rPr>
          <w:color w:val="auto"/>
          <w:szCs w:val="21"/>
          <w:highlight w:val="none"/>
        </w:rPr>
      </w:pPr>
      <w:r>
        <w:rPr>
          <w:color w:val="auto"/>
          <w:szCs w:val="21"/>
          <w:highlight w:val="none"/>
        </w:rPr>
        <w:t>项目编号：</w:t>
      </w:r>
    </w:p>
    <w:p w14:paraId="7E129D3D">
      <w:pPr>
        <w:spacing w:before="120" w:line="480" w:lineRule="auto"/>
        <w:rPr>
          <w:color w:val="auto"/>
          <w:szCs w:val="21"/>
          <w:highlight w:val="none"/>
          <w:u w:val="single"/>
        </w:rPr>
      </w:pPr>
      <w:r>
        <w:rPr>
          <w:color w:val="auto"/>
          <w:szCs w:val="21"/>
          <w:highlight w:val="none"/>
        </w:rPr>
        <w:t>甲方（采购人）：</w:t>
      </w:r>
      <w:r>
        <w:rPr>
          <w:color w:val="auto"/>
          <w:szCs w:val="21"/>
          <w:highlight w:val="none"/>
          <w:u w:val="single"/>
        </w:rPr>
        <w:t xml:space="preserve">                              </w:t>
      </w:r>
    </w:p>
    <w:p w14:paraId="5103733C">
      <w:pPr>
        <w:spacing w:before="120" w:line="480" w:lineRule="auto"/>
        <w:rPr>
          <w:color w:val="auto"/>
          <w:szCs w:val="21"/>
          <w:highlight w:val="none"/>
          <w:u w:val="single"/>
        </w:rPr>
      </w:pPr>
      <w:r>
        <w:rPr>
          <w:color w:val="auto"/>
          <w:szCs w:val="21"/>
          <w:highlight w:val="none"/>
        </w:rPr>
        <w:t>乙方（</w:t>
      </w:r>
      <w:r>
        <w:rPr>
          <w:rFonts w:hint="eastAsia"/>
          <w:color w:val="auto"/>
          <w:szCs w:val="21"/>
          <w:highlight w:val="none"/>
        </w:rPr>
        <w:t>成交</w:t>
      </w:r>
      <w:r>
        <w:rPr>
          <w:color w:val="auto"/>
          <w:szCs w:val="21"/>
          <w:highlight w:val="none"/>
        </w:rPr>
        <w:t>人）：</w:t>
      </w:r>
      <w:r>
        <w:rPr>
          <w:color w:val="auto"/>
          <w:szCs w:val="21"/>
          <w:highlight w:val="none"/>
          <w:u w:val="single"/>
        </w:rPr>
        <w:t xml:space="preserve">                              </w:t>
      </w:r>
    </w:p>
    <w:p w14:paraId="22B04D22">
      <w:pPr>
        <w:spacing w:before="120" w:line="480" w:lineRule="auto"/>
        <w:rPr>
          <w:color w:val="auto"/>
          <w:szCs w:val="21"/>
          <w:highlight w:val="none"/>
          <w:u w:val="single"/>
        </w:rPr>
      </w:pPr>
      <w:r>
        <w:rPr>
          <w:color w:val="auto"/>
          <w:szCs w:val="21"/>
          <w:highlight w:val="none"/>
        </w:rPr>
        <w:t>签订地：</w:t>
      </w:r>
      <w:r>
        <w:rPr>
          <w:color w:val="auto"/>
          <w:szCs w:val="21"/>
          <w:highlight w:val="none"/>
          <w:u w:val="single"/>
        </w:rPr>
        <w:t xml:space="preserve">                                     </w:t>
      </w:r>
    </w:p>
    <w:p w14:paraId="04D98568">
      <w:pPr>
        <w:spacing w:before="120" w:line="480" w:lineRule="auto"/>
        <w:rPr>
          <w:color w:val="auto"/>
          <w:szCs w:val="21"/>
          <w:highlight w:val="none"/>
        </w:rPr>
      </w:pPr>
      <w:r>
        <w:rPr>
          <w:color w:val="auto"/>
          <w:szCs w:val="21"/>
          <w:highlight w:val="none"/>
        </w:rPr>
        <w:t>签订日期：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BA65CC5">
      <w:pPr>
        <w:spacing w:line="440" w:lineRule="exact"/>
        <w:ind w:firstLine="420" w:firstLineChars="200"/>
        <w:jc w:val="left"/>
        <w:rPr>
          <w:color w:val="auto"/>
          <w:szCs w:val="21"/>
          <w:highlight w:val="none"/>
        </w:rPr>
      </w:pPr>
    </w:p>
    <w:p w14:paraId="5CBC7584">
      <w:pPr>
        <w:spacing w:line="440" w:lineRule="exact"/>
        <w:ind w:firstLine="420" w:firstLineChars="200"/>
        <w:jc w:val="left"/>
        <w:rPr>
          <w:color w:val="auto"/>
          <w:szCs w:val="21"/>
          <w:highlight w:val="none"/>
        </w:rPr>
      </w:pPr>
    </w:p>
    <w:p w14:paraId="60648997">
      <w:pPr>
        <w:spacing w:line="440" w:lineRule="exact"/>
        <w:ind w:firstLine="420" w:firstLineChars="200"/>
        <w:jc w:val="left"/>
        <w:rPr>
          <w:color w:val="auto"/>
          <w:szCs w:val="21"/>
          <w:highlight w:val="none"/>
        </w:rPr>
      </w:pPr>
    </w:p>
    <w:p w14:paraId="7590F946">
      <w:pPr>
        <w:spacing w:line="440" w:lineRule="exact"/>
        <w:jc w:val="left"/>
        <w:rPr>
          <w:color w:val="auto"/>
          <w:szCs w:val="21"/>
          <w:highlight w:val="none"/>
        </w:rPr>
      </w:pPr>
    </w:p>
    <w:p w14:paraId="038D94B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（采购人名称）     （</w:t>
      </w:r>
      <w:r>
        <w:rPr>
          <w:rFonts w:hint="eastAsia" w:ascii="宋体" w:hAnsi="宋体" w:cs="宋体"/>
          <w:color w:val="auto"/>
          <w:szCs w:val="21"/>
          <w:highlight w:val="none"/>
          <w:u w:val="single"/>
          <w:lang w:val="zh-CN"/>
        </w:rPr>
        <w:t>以下简称：甲方</w:t>
      </w:r>
      <w:r>
        <w:rPr>
          <w:rFonts w:hint="eastAsia" w:ascii="宋体" w:hAnsi="宋体" w:cs="宋体"/>
          <w:color w:val="auto"/>
          <w:szCs w:val="21"/>
          <w:highlight w:val="none"/>
          <w:u w:val="single"/>
        </w:rPr>
        <w:t>）</w:t>
      </w:r>
      <w:r>
        <w:rPr>
          <w:rFonts w:hint="eastAsia" w:ascii="宋体" w:hAnsi="宋体" w:cs="宋体"/>
          <w:color w:val="auto"/>
          <w:szCs w:val="21"/>
          <w:highlight w:val="none"/>
        </w:rPr>
        <w:t>通过竞争性磋商采购招标，经磋商小组评定，确定（成交人名称）（</w:t>
      </w:r>
      <w:r>
        <w:rPr>
          <w:rFonts w:hint="eastAsia" w:ascii="宋体" w:hAnsi="宋体" w:cs="宋体"/>
          <w:color w:val="auto"/>
          <w:szCs w:val="21"/>
          <w:highlight w:val="none"/>
          <w:lang w:val="zh-CN"/>
        </w:rPr>
        <w:t>以下简称：乙方</w:t>
      </w:r>
      <w:r>
        <w:rPr>
          <w:rFonts w:hint="eastAsia" w:ascii="宋体" w:hAnsi="宋体" w:cs="宋体"/>
          <w:color w:val="auto"/>
          <w:szCs w:val="21"/>
          <w:highlight w:val="none"/>
        </w:rPr>
        <w:t>）为本项目成交人，现按照采购文件确定的事项签订本合同。</w:t>
      </w:r>
    </w:p>
    <w:p w14:paraId="360EFAB4">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根据《中华人民共和国民法典》等相关法律法规之规定，按照平等、自愿、公平和诚实信用的原则，经甲方和乙方协商一致，约定以下合同条款，以兹共同遵守、全面履行。</w:t>
      </w:r>
    </w:p>
    <w:p w14:paraId="08F3565B">
      <w:pPr>
        <w:spacing w:line="440" w:lineRule="exact"/>
        <w:ind w:firstLine="422" w:firstLineChars="200"/>
        <w:jc w:val="left"/>
        <w:outlineLvl w:val="2"/>
        <w:rPr>
          <w:rFonts w:hint="eastAsia" w:ascii="宋体" w:hAnsi="宋体" w:cs="宋体"/>
          <w:b/>
          <w:bCs/>
          <w:color w:val="auto"/>
          <w:szCs w:val="21"/>
          <w:highlight w:val="none"/>
          <w:lang w:val="zh-CN"/>
        </w:rPr>
      </w:pPr>
      <w:bookmarkStart w:id="262" w:name="_Toc24059"/>
      <w:bookmarkStart w:id="263" w:name="_Toc11904"/>
      <w:bookmarkStart w:id="264" w:name="_Toc3029"/>
      <w:bookmarkStart w:id="265" w:name="_Toc2232"/>
      <w:r>
        <w:rPr>
          <w:rFonts w:hint="eastAsia" w:ascii="宋体" w:hAnsi="宋体" w:cs="宋体"/>
          <w:b/>
          <w:bCs/>
          <w:color w:val="auto"/>
          <w:szCs w:val="21"/>
          <w:highlight w:val="none"/>
          <w:lang w:val="zh-CN"/>
        </w:rPr>
        <w:t>1.1 合同组成部分</w:t>
      </w:r>
      <w:bookmarkEnd w:id="262"/>
      <w:bookmarkEnd w:id="263"/>
      <w:bookmarkEnd w:id="264"/>
      <w:bookmarkEnd w:id="265"/>
    </w:p>
    <w:p w14:paraId="2A4F0E1E">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C84554D">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1.1.1本合同及其补充合同、变更协议；</w:t>
      </w:r>
    </w:p>
    <w:p w14:paraId="655CC365">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1.1.2成交通知书；</w:t>
      </w:r>
    </w:p>
    <w:p w14:paraId="4AE0D426">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1.1.3响应文件（含澄清或者说明文件）；</w:t>
      </w:r>
    </w:p>
    <w:p w14:paraId="03042EFF">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1.1.4磋商文件（含澄清或者修改文件）；</w:t>
      </w:r>
    </w:p>
    <w:p w14:paraId="741BCC97">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1.1.5其他相关采购文件。</w:t>
      </w:r>
    </w:p>
    <w:p w14:paraId="3C418440">
      <w:pPr>
        <w:spacing w:line="440" w:lineRule="exact"/>
        <w:ind w:firstLine="422" w:firstLineChars="200"/>
        <w:jc w:val="left"/>
        <w:outlineLvl w:val="2"/>
        <w:rPr>
          <w:rFonts w:hint="eastAsia" w:ascii="宋体" w:hAnsi="宋体" w:cs="宋体"/>
          <w:b/>
          <w:bCs/>
          <w:color w:val="auto"/>
          <w:szCs w:val="21"/>
          <w:highlight w:val="none"/>
          <w:lang w:val="zh-CN"/>
        </w:rPr>
      </w:pPr>
      <w:bookmarkStart w:id="266" w:name="_Toc22185"/>
      <w:bookmarkStart w:id="267" w:name="_Toc2918"/>
      <w:bookmarkStart w:id="268" w:name="_Toc6311"/>
      <w:bookmarkStart w:id="269" w:name="_Toc18585"/>
      <w:bookmarkStart w:id="270" w:name="_Toc6773"/>
      <w:bookmarkStart w:id="271" w:name="_Toc118"/>
      <w:r>
        <w:rPr>
          <w:rFonts w:hint="eastAsia" w:ascii="宋体" w:hAnsi="宋体" w:cs="宋体"/>
          <w:b/>
          <w:bCs/>
          <w:color w:val="auto"/>
          <w:szCs w:val="21"/>
          <w:highlight w:val="none"/>
          <w:lang w:val="zh-CN"/>
        </w:rPr>
        <w:t xml:space="preserve">1.2 </w:t>
      </w:r>
      <w:bookmarkEnd w:id="266"/>
      <w:bookmarkEnd w:id="267"/>
      <w:bookmarkEnd w:id="268"/>
      <w:bookmarkEnd w:id="269"/>
      <w:bookmarkEnd w:id="270"/>
      <w:r>
        <w:rPr>
          <w:rFonts w:hint="eastAsia" w:ascii="宋体" w:hAnsi="宋体" w:cs="宋体"/>
          <w:b/>
          <w:bCs/>
          <w:color w:val="auto"/>
          <w:szCs w:val="21"/>
          <w:highlight w:val="none"/>
          <w:lang w:val="zh-CN"/>
        </w:rPr>
        <w:t>服务</w:t>
      </w:r>
      <w:bookmarkEnd w:id="271"/>
    </w:p>
    <w:p w14:paraId="212B59B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1.2.1服务名称：</w:t>
      </w:r>
      <w:r>
        <w:rPr>
          <w:rFonts w:hint="eastAsia" w:ascii="宋体" w:hAnsi="宋体" w:cs="宋体"/>
          <w:color w:val="auto"/>
          <w:szCs w:val="21"/>
          <w:highlight w:val="none"/>
          <w:u w:val="single"/>
        </w:rPr>
        <w:t>滁州学院2024年档案管理系统采购（一期） ；</w:t>
      </w:r>
    </w:p>
    <w:p w14:paraId="5DA5ABFA">
      <w:pPr>
        <w:spacing w:line="440" w:lineRule="exact"/>
        <w:ind w:firstLine="420" w:firstLineChars="200"/>
        <w:jc w:val="left"/>
        <w:outlineLvl w:val="3"/>
        <w:rPr>
          <w:rFonts w:hint="eastAsia" w:ascii="宋体" w:hAnsi="宋体" w:cs="宋体"/>
          <w:color w:val="auto"/>
          <w:szCs w:val="21"/>
          <w:highlight w:val="none"/>
          <w:u w:val="single"/>
        </w:rPr>
      </w:pPr>
      <w:r>
        <w:rPr>
          <w:rFonts w:hint="eastAsia" w:ascii="宋体" w:hAnsi="宋体" w:cs="宋体"/>
          <w:color w:val="auto"/>
          <w:szCs w:val="21"/>
          <w:highlight w:val="none"/>
        </w:rPr>
        <w:t>1.2.2服务内容：</w:t>
      </w:r>
      <w:r>
        <w:rPr>
          <w:rFonts w:hint="eastAsia" w:ascii="宋体" w:hAnsi="宋体" w:cs="宋体"/>
          <w:color w:val="auto"/>
          <w:szCs w:val="21"/>
          <w:highlight w:val="none"/>
          <w:u w:val="single"/>
        </w:rPr>
        <w:t>具体详见本项目《</w:t>
      </w:r>
      <w:bookmarkStart w:id="272" w:name="_Toc21551"/>
      <w:bookmarkStart w:id="273" w:name="_Toc21631"/>
      <w:bookmarkStart w:id="274" w:name="_Toc23292"/>
      <w:r>
        <w:rPr>
          <w:rFonts w:hint="eastAsia" w:ascii="宋体" w:hAnsi="宋体" w:cs="宋体"/>
          <w:color w:val="auto"/>
          <w:szCs w:val="21"/>
          <w:highlight w:val="none"/>
          <w:u w:val="single"/>
        </w:rPr>
        <w:t>档案信息化建设采购需求》</w:t>
      </w:r>
    </w:p>
    <w:p w14:paraId="3A3CD324">
      <w:pPr>
        <w:spacing w:line="440" w:lineRule="exact"/>
        <w:ind w:firstLine="422" w:firstLineChars="200"/>
        <w:jc w:val="left"/>
        <w:outlineLvl w:val="2"/>
        <w:rPr>
          <w:rFonts w:hint="eastAsia" w:ascii="宋体" w:hAnsi="宋体" w:cs="宋体"/>
          <w:b/>
          <w:bCs/>
          <w:color w:val="auto"/>
          <w:szCs w:val="21"/>
          <w:highlight w:val="none"/>
          <w:lang w:val="zh-CN"/>
        </w:rPr>
      </w:pPr>
      <w:bookmarkStart w:id="275" w:name="_Toc24194"/>
      <w:r>
        <w:rPr>
          <w:rFonts w:hint="eastAsia" w:ascii="宋体" w:hAnsi="宋体" w:cs="宋体"/>
          <w:b/>
          <w:bCs/>
          <w:color w:val="auto"/>
          <w:szCs w:val="21"/>
          <w:highlight w:val="none"/>
          <w:lang w:val="zh-CN"/>
        </w:rPr>
        <w:t>1.3 价款</w:t>
      </w:r>
      <w:bookmarkEnd w:id="272"/>
      <w:bookmarkEnd w:id="273"/>
      <w:bookmarkEnd w:id="274"/>
      <w:bookmarkEnd w:id="275"/>
    </w:p>
    <w:p w14:paraId="733F4DF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本合同总价为：￥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60F3E84">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5044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6A058A33">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4317" w:type="dxa"/>
            <w:noWrap w:val="0"/>
            <w:vAlign w:val="center"/>
          </w:tcPr>
          <w:p w14:paraId="2D6BA79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分项名称</w:t>
            </w:r>
          </w:p>
        </w:tc>
        <w:tc>
          <w:tcPr>
            <w:tcW w:w="3237" w:type="dxa"/>
            <w:gridSpan w:val="2"/>
            <w:noWrap w:val="0"/>
            <w:vAlign w:val="center"/>
          </w:tcPr>
          <w:p w14:paraId="511B115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分项价格</w:t>
            </w:r>
          </w:p>
        </w:tc>
      </w:tr>
      <w:tr w14:paraId="3CEC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181DAC4E">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4317" w:type="dxa"/>
            <w:noWrap w:val="0"/>
            <w:vAlign w:val="center"/>
          </w:tcPr>
          <w:p w14:paraId="4A4B7B87">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40FEDB5D">
            <w:pPr>
              <w:spacing w:line="440" w:lineRule="exact"/>
              <w:ind w:firstLine="420" w:firstLineChars="200"/>
              <w:jc w:val="left"/>
              <w:rPr>
                <w:rFonts w:hint="eastAsia" w:ascii="宋体" w:hAnsi="宋体" w:cs="宋体"/>
                <w:color w:val="auto"/>
                <w:szCs w:val="21"/>
                <w:highlight w:val="none"/>
              </w:rPr>
            </w:pPr>
          </w:p>
        </w:tc>
      </w:tr>
      <w:tr w14:paraId="4367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118EF281">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4317" w:type="dxa"/>
            <w:noWrap w:val="0"/>
            <w:vAlign w:val="center"/>
          </w:tcPr>
          <w:p w14:paraId="627945B1">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12B7CCFE">
            <w:pPr>
              <w:spacing w:line="440" w:lineRule="exact"/>
              <w:ind w:firstLine="420" w:firstLineChars="200"/>
              <w:jc w:val="left"/>
              <w:rPr>
                <w:rFonts w:hint="eastAsia" w:ascii="宋体" w:hAnsi="宋体" w:cs="宋体"/>
                <w:color w:val="auto"/>
                <w:szCs w:val="21"/>
                <w:highlight w:val="none"/>
              </w:rPr>
            </w:pPr>
          </w:p>
        </w:tc>
      </w:tr>
      <w:tr w14:paraId="575E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34EF685B">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4317" w:type="dxa"/>
            <w:noWrap w:val="0"/>
            <w:vAlign w:val="center"/>
          </w:tcPr>
          <w:p w14:paraId="3CDBB4F6">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067E56CB">
            <w:pPr>
              <w:spacing w:line="440" w:lineRule="exact"/>
              <w:ind w:firstLine="420" w:firstLineChars="200"/>
              <w:jc w:val="left"/>
              <w:rPr>
                <w:rFonts w:hint="eastAsia" w:ascii="宋体" w:hAnsi="宋体" w:cs="宋体"/>
                <w:color w:val="auto"/>
                <w:szCs w:val="21"/>
                <w:highlight w:val="none"/>
              </w:rPr>
            </w:pPr>
          </w:p>
        </w:tc>
      </w:tr>
      <w:tr w14:paraId="165F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42880D9E">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p>
        </w:tc>
        <w:tc>
          <w:tcPr>
            <w:tcW w:w="4317" w:type="dxa"/>
            <w:noWrap w:val="0"/>
            <w:vAlign w:val="center"/>
          </w:tcPr>
          <w:p w14:paraId="3B56E8B7">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05479395">
            <w:pPr>
              <w:spacing w:line="440" w:lineRule="exact"/>
              <w:ind w:firstLine="420" w:firstLineChars="200"/>
              <w:jc w:val="left"/>
              <w:rPr>
                <w:rFonts w:hint="eastAsia" w:ascii="宋体" w:hAnsi="宋体" w:cs="宋体"/>
                <w:color w:val="auto"/>
                <w:szCs w:val="21"/>
                <w:highlight w:val="none"/>
              </w:rPr>
            </w:pPr>
          </w:p>
        </w:tc>
      </w:tr>
      <w:tr w14:paraId="1E6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600E89C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w:t>
            </w:r>
          </w:p>
        </w:tc>
        <w:tc>
          <w:tcPr>
            <w:tcW w:w="3237" w:type="dxa"/>
            <w:gridSpan w:val="2"/>
            <w:noWrap w:val="0"/>
            <w:vAlign w:val="center"/>
          </w:tcPr>
          <w:p w14:paraId="342647EB">
            <w:pPr>
              <w:spacing w:line="440" w:lineRule="exact"/>
              <w:ind w:firstLine="420" w:firstLineChars="200"/>
              <w:jc w:val="left"/>
              <w:rPr>
                <w:rFonts w:hint="eastAsia" w:ascii="宋体" w:hAnsi="宋体" w:cs="宋体"/>
                <w:color w:val="auto"/>
                <w:szCs w:val="21"/>
                <w:highlight w:val="none"/>
              </w:rPr>
            </w:pPr>
          </w:p>
        </w:tc>
      </w:tr>
    </w:tbl>
    <w:p w14:paraId="2AE6780C">
      <w:pPr>
        <w:spacing w:line="440" w:lineRule="exact"/>
        <w:ind w:firstLine="422" w:firstLineChars="200"/>
        <w:jc w:val="left"/>
        <w:outlineLvl w:val="2"/>
        <w:rPr>
          <w:rFonts w:hint="eastAsia" w:ascii="宋体" w:hAnsi="宋体" w:cs="宋体"/>
          <w:b/>
          <w:bCs/>
          <w:color w:val="auto"/>
          <w:szCs w:val="21"/>
          <w:highlight w:val="none"/>
          <w:lang w:val="zh-CN"/>
        </w:rPr>
      </w:pPr>
      <w:bookmarkStart w:id="276" w:name="_Toc22618"/>
      <w:bookmarkStart w:id="277" w:name="_Toc10340"/>
      <w:bookmarkStart w:id="278" w:name="_Toc1814"/>
      <w:bookmarkStart w:id="279" w:name="_Toc8136"/>
      <w:r>
        <w:rPr>
          <w:rFonts w:hint="eastAsia" w:ascii="宋体" w:hAnsi="宋体" w:cs="宋体"/>
          <w:b/>
          <w:bCs/>
          <w:color w:val="auto"/>
          <w:szCs w:val="21"/>
          <w:highlight w:val="none"/>
          <w:lang w:val="zh-CN"/>
        </w:rPr>
        <w:t>1.4 付款方式和发票开具方式</w:t>
      </w:r>
      <w:bookmarkEnd w:id="276"/>
      <w:bookmarkEnd w:id="277"/>
      <w:bookmarkEnd w:id="278"/>
      <w:bookmarkEnd w:id="279"/>
    </w:p>
    <w:p w14:paraId="517AB8B9">
      <w:pPr>
        <w:pStyle w:val="71"/>
        <w:spacing w:before="0" w:beforeAutospacing="0" w:after="0" w:afterAutospacing="0" w:line="440" w:lineRule="exact"/>
        <w:ind w:firstLine="420" w:firstLineChars="200"/>
        <w:outlineLvl w:val="3"/>
        <w:rPr>
          <w:rFonts w:hint="eastAsia"/>
          <w:color w:val="auto"/>
          <w:sz w:val="21"/>
          <w:szCs w:val="21"/>
          <w:highlight w:val="none"/>
          <w:u w:val="single"/>
        </w:rPr>
      </w:pPr>
      <w:r>
        <w:rPr>
          <w:rFonts w:hint="eastAsia"/>
          <w:color w:val="auto"/>
          <w:sz w:val="21"/>
          <w:szCs w:val="21"/>
          <w:highlight w:val="none"/>
        </w:rPr>
        <w:t>1.4.1付款方式：</w:t>
      </w:r>
      <w:r>
        <w:rPr>
          <w:rFonts w:hint="eastAsia"/>
          <w:color w:val="auto"/>
          <w:sz w:val="21"/>
          <w:szCs w:val="21"/>
          <w:highlight w:val="none"/>
          <w:u w:val="single"/>
        </w:rPr>
        <w:t>供货（服务）完成，经验收合格后付全款</w:t>
      </w:r>
      <w:r>
        <w:rPr>
          <w:rFonts w:hint="eastAsia"/>
          <w:color w:val="auto"/>
          <w:kern w:val="2"/>
          <w:sz w:val="21"/>
          <w:szCs w:val="21"/>
          <w:highlight w:val="none"/>
          <w:u w:val="single"/>
        </w:rPr>
        <w:t xml:space="preserve"> </w:t>
      </w:r>
      <w:r>
        <w:rPr>
          <w:rFonts w:hint="eastAsia"/>
          <w:color w:val="auto"/>
          <w:sz w:val="21"/>
          <w:szCs w:val="21"/>
          <w:highlight w:val="none"/>
          <w:u w:val="single"/>
        </w:rPr>
        <w:t>。</w:t>
      </w:r>
    </w:p>
    <w:p w14:paraId="3FA99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1.4.2发票开具方式：</w:t>
      </w:r>
      <w:r>
        <w:rPr>
          <w:rFonts w:hint="eastAsia" w:ascii="宋体" w:hAnsi="宋体" w:cs="宋体"/>
          <w:color w:val="auto"/>
          <w:szCs w:val="21"/>
          <w:highlight w:val="none"/>
          <w:u w:val="single"/>
        </w:rPr>
        <w:t xml:space="preserve">                 满足采购人要求                </w:t>
      </w:r>
      <w:r>
        <w:rPr>
          <w:rFonts w:hint="eastAsia" w:ascii="宋体" w:hAnsi="宋体" w:cs="宋体"/>
          <w:color w:val="auto"/>
          <w:szCs w:val="21"/>
          <w:highlight w:val="none"/>
        </w:rPr>
        <w:t>。</w:t>
      </w:r>
    </w:p>
    <w:p w14:paraId="3B589263">
      <w:pPr>
        <w:spacing w:line="440" w:lineRule="exact"/>
        <w:ind w:firstLine="422" w:firstLineChars="200"/>
        <w:jc w:val="left"/>
        <w:outlineLvl w:val="2"/>
        <w:rPr>
          <w:rFonts w:hint="eastAsia" w:ascii="宋体" w:hAnsi="宋体" w:cs="宋体"/>
          <w:b/>
          <w:bCs/>
          <w:color w:val="auto"/>
          <w:szCs w:val="21"/>
          <w:highlight w:val="none"/>
          <w:lang w:val="zh-CN"/>
        </w:rPr>
      </w:pPr>
      <w:bookmarkStart w:id="280" w:name="_Toc19304"/>
      <w:bookmarkStart w:id="281" w:name="_Toc32071"/>
      <w:bookmarkStart w:id="282" w:name="_Toc1060"/>
      <w:bookmarkStart w:id="283" w:name="_Toc2846"/>
      <w:r>
        <w:rPr>
          <w:rFonts w:hint="eastAsia" w:ascii="宋体" w:hAnsi="宋体" w:cs="宋体"/>
          <w:b/>
          <w:bCs/>
          <w:color w:val="auto"/>
          <w:szCs w:val="21"/>
          <w:highlight w:val="none"/>
          <w:lang w:val="zh-CN"/>
        </w:rPr>
        <w:t>1.5 服务期限、地点和方式</w:t>
      </w:r>
      <w:bookmarkEnd w:id="280"/>
      <w:bookmarkEnd w:id="281"/>
      <w:bookmarkEnd w:id="282"/>
      <w:bookmarkEnd w:id="283"/>
    </w:p>
    <w:p w14:paraId="25BA5A27">
      <w:pPr>
        <w:autoSpaceDE w:val="0"/>
        <w:autoSpaceDN w:val="0"/>
        <w:adjustRightInd w:val="0"/>
        <w:spacing w:line="440" w:lineRule="exact"/>
        <w:ind w:firstLine="382" w:firstLineChars="182"/>
        <w:jc w:val="left"/>
        <w:outlineLvl w:val="3"/>
        <w:rPr>
          <w:rFonts w:hint="eastAsia" w:ascii="宋体" w:hAnsi="宋体" w:cs="宋体"/>
          <w:color w:val="auto"/>
          <w:szCs w:val="21"/>
          <w:highlight w:val="none"/>
          <w:u w:val="single"/>
        </w:rPr>
      </w:pPr>
      <w:r>
        <w:rPr>
          <w:rFonts w:hint="eastAsia" w:ascii="宋体" w:hAnsi="宋体" w:cs="宋体"/>
          <w:color w:val="auto"/>
          <w:szCs w:val="21"/>
          <w:highlight w:val="none"/>
        </w:rPr>
        <w:t>1.5.1服务期限：</w:t>
      </w:r>
      <w:r>
        <w:rPr>
          <w:rFonts w:hint="eastAsia" w:ascii="宋体" w:hAnsi="宋体" w:cs="宋体"/>
          <w:color w:val="auto"/>
          <w:szCs w:val="21"/>
          <w:highlight w:val="none"/>
          <w:u w:val="single"/>
        </w:rPr>
        <w:t xml:space="preserve"> 签订合同后30个日历天供货安装完毕（在合同签订生效后180个日历天内具备系统验收条件）。 </w:t>
      </w:r>
      <w:r>
        <w:rPr>
          <w:rFonts w:hint="eastAsia" w:ascii="宋体" w:hAnsi="宋体" w:cs="宋体"/>
          <w:color w:val="auto"/>
          <w:szCs w:val="21"/>
          <w:highlight w:val="none"/>
          <w:u w:val="single"/>
        </w:rPr>
        <w:t xml:space="preserve"> </w:t>
      </w:r>
    </w:p>
    <w:p w14:paraId="7E23106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1.5.2服务地点：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6268988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1.5.3质量保证期及售后服务要求：</w:t>
      </w:r>
      <w:r>
        <w:rPr>
          <w:rFonts w:hint="eastAsia" w:ascii="宋体" w:hAnsi="宋体" w:cs="宋体"/>
          <w:color w:val="auto"/>
          <w:szCs w:val="21"/>
          <w:highlight w:val="none"/>
          <w:u w:val="single"/>
        </w:rPr>
        <w:t xml:space="preserve">     满足招标人需求            。</w:t>
      </w:r>
    </w:p>
    <w:p w14:paraId="2A238371">
      <w:pPr>
        <w:spacing w:line="440" w:lineRule="exact"/>
        <w:ind w:firstLine="422" w:firstLineChars="200"/>
        <w:jc w:val="left"/>
        <w:outlineLvl w:val="2"/>
        <w:rPr>
          <w:rFonts w:hint="eastAsia" w:ascii="宋体" w:hAnsi="宋体" w:cs="宋体"/>
          <w:b/>
          <w:bCs/>
          <w:color w:val="auto"/>
          <w:szCs w:val="21"/>
          <w:highlight w:val="none"/>
          <w:lang w:val="zh-CN"/>
        </w:rPr>
      </w:pPr>
      <w:bookmarkStart w:id="284" w:name="_Toc21423"/>
      <w:bookmarkStart w:id="285" w:name="_Toc27250"/>
      <w:bookmarkStart w:id="286" w:name="_Toc28474"/>
      <w:bookmarkStart w:id="287" w:name="_Toc19554"/>
      <w:r>
        <w:rPr>
          <w:rFonts w:hint="eastAsia" w:ascii="宋体" w:hAnsi="宋体" w:cs="宋体"/>
          <w:b/>
          <w:bCs/>
          <w:color w:val="auto"/>
          <w:szCs w:val="21"/>
          <w:highlight w:val="none"/>
          <w:lang w:val="zh-CN"/>
        </w:rPr>
        <w:t>1.6 违约责任</w:t>
      </w:r>
      <w:bookmarkEnd w:id="284"/>
      <w:bookmarkEnd w:id="285"/>
      <w:bookmarkEnd w:id="286"/>
      <w:bookmarkEnd w:id="287"/>
    </w:p>
    <w:p w14:paraId="5AA30B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%；迟延履行的违约金计算数额达到前述最高限额之日起，甲方有权在要求乙方支付违约金的同时，书面通知乙方解除本合同；</w:t>
      </w:r>
    </w:p>
    <w:p w14:paraId="3E5AA59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%；迟延付款的违约金计算数额达到前述最高限额之日起，乙方有权在要求甲方支付违约金的同时，书面通知甲方解除本合同；</w:t>
      </w:r>
    </w:p>
    <w:p w14:paraId="7B8F36F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954EF6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7845B9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5587E0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1.6.6如果出现采购监督管理部门在处理投诉事项期间，书面通知甲方暂停采购活动的情形，或者询问或质疑事项可能影响中标结果的，导致甲方中止履行合同的情形，均不视为甲方违约。</w:t>
      </w:r>
    </w:p>
    <w:p w14:paraId="0399DB1E">
      <w:pPr>
        <w:spacing w:line="440" w:lineRule="exact"/>
        <w:ind w:firstLine="422" w:firstLineChars="200"/>
        <w:jc w:val="left"/>
        <w:outlineLvl w:val="2"/>
        <w:rPr>
          <w:rFonts w:hint="eastAsia" w:ascii="宋体" w:hAnsi="宋体" w:cs="宋体"/>
          <w:b/>
          <w:bCs/>
          <w:color w:val="auto"/>
          <w:szCs w:val="21"/>
          <w:highlight w:val="none"/>
          <w:lang w:val="zh-CN"/>
        </w:rPr>
      </w:pPr>
      <w:bookmarkStart w:id="288" w:name="_Toc29543"/>
      <w:bookmarkStart w:id="289" w:name="_Toc16021"/>
      <w:bookmarkStart w:id="290" w:name="_Toc15583"/>
      <w:bookmarkStart w:id="291" w:name="_Toc28375"/>
      <w:r>
        <w:rPr>
          <w:rFonts w:hint="eastAsia" w:ascii="宋体" w:hAnsi="宋体" w:cs="宋体"/>
          <w:b/>
          <w:bCs/>
          <w:color w:val="auto"/>
          <w:szCs w:val="21"/>
          <w:highlight w:val="none"/>
          <w:lang w:val="zh-CN"/>
        </w:rPr>
        <w:t>1.7 合同争议的解决</w:t>
      </w:r>
      <w:bookmarkEnd w:id="288"/>
      <w:bookmarkEnd w:id="289"/>
      <w:bookmarkEnd w:id="290"/>
      <w:bookmarkEnd w:id="291"/>
    </w:p>
    <w:p w14:paraId="523B70F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75F9454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1.7.1将争议提交滁州仲裁委员会依申请仲裁时其现行有效的仲裁规则裁决；</w:t>
      </w:r>
    </w:p>
    <w:p w14:paraId="585C02F5">
      <w:pPr>
        <w:spacing w:line="44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1.7.2向甲方（采购人）所在地人民法院起诉。</w:t>
      </w:r>
    </w:p>
    <w:p w14:paraId="49535689">
      <w:pPr>
        <w:spacing w:line="440" w:lineRule="exact"/>
        <w:ind w:firstLine="437"/>
        <w:outlineLvl w:val="2"/>
        <w:rPr>
          <w:rFonts w:hint="eastAsia" w:ascii="宋体" w:hAnsi="宋体" w:cs="宋体"/>
          <w:b/>
          <w:bCs/>
          <w:color w:val="auto"/>
          <w:szCs w:val="21"/>
          <w:highlight w:val="none"/>
          <w:lang w:val="zh-CN"/>
        </w:rPr>
      </w:pPr>
      <w:bookmarkStart w:id="292" w:name="_Toc7245"/>
      <w:bookmarkStart w:id="293" w:name="_Toc11456"/>
      <w:bookmarkStart w:id="294" w:name="_Toc15322"/>
      <w:bookmarkStart w:id="295" w:name="_Toc11173"/>
      <w:r>
        <w:rPr>
          <w:rFonts w:hint="eastAsia" w:ascii="宋体" w:hAnsi="宋体" w:cs="宋体"/>
          <w:b/>
          <w:bCs/>
          <w:color w:val="auto"/>
          <w:szCs w:val="21"/>
          <w:highlight w:val="none"/>
          <w:lang w:val="zh-CN"/>
        </w:rPr>
        <w:t>1.8 合同生效</w:t>
      </w:r>
      <w:bookmarkEnd w:id="292"/>
      <w:bookmarkEnd w:id="293"/>
      <w:bookmarkEnd w:id="294"/>
      <w:bookmarkEnd w:id="295"/>
    </w:p>
    <w:p w14:paraId="52F1847A">
      <w:pPr>
        <w:spacing w:line="440" w:lineRule="exact"/>
        <w:ind w:firstLine="435"/>
        <w:rPr>
          <w:rFonts w:hint="eastAsia" w:ascii="宋体" w:hAnsi="宋体" w:cs="宋体"/>
          <w:color w:val="auto"/>
          <w:szCs w:val="21"/>
          <w:highlight w:val="none"/>
          <w:lang w:val="zh-CN"/>
        </w:rPr>
      </w:pPr>
      <w:r>
        <w:rPr>
          <w:rFonts w:hint="eastAsia" w:ascii="宋体" w:hAnsi="宋体" w:cs="宋体"/>
          <w:color w:val="auto"/>
          <w:szCs w:val="21"/>
          <w:highlight w:val="none"/>
        </w:rPr>
        <w:t>本合同自双方当事人盖章时生效。</w:t>
      </w:r>
    </w:p>
    <w:p w14:paraId="13F0F0FA">
      <w:pPr>
        <w:autoSpaceDE w:val="0"/>
        <w:autoSpaceDN w:val="0"/>
        <w:adjustRightInd w:val="0"/>
        <w:spacing w:line="440" w:lineRule="exact"/>
        <w:rPr>
          <w:rFonts w:hint="eastAsia" w:ascii="宋体" w:hAnsi="宋体" w:cs="宋体"/>
          <w:color w:val="auto"/>
          <w:szCs w:val="21"/>
          <w:highlight w:val="none"/>
          <w:lang w:val="zh-CN"/>
        </w:rPr>
      </w:pPr>
    </w:p>
    <w:p w14:paraId="57F53BE8">
      <w:pPr>
        <w:autoSpaceDE w:val="0"/>
        <w:autoSpaceDN w:val="0"/>
        <w:adjustRightInd w:val="0"/>
        <w:spacing w:line="440" w:lineRule="exac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甲    方：</w:t>
      </w:r>
      <w:r>
        <w:rPr>
          <w:rFonts w:hint="eastAsia" w:ascii="宋体" w:hAnsi="宋体" w:cs="宋体"/>
          <w:bCs/>
          <w:color w:val="auto"/>
          <w:szCs w:val="21"/>
          <w:highlight w:val="none"/>
          <w:u w:val="single"/>
          <w:lang w:val="zh-CN"/>
        </w:rPr>
        <w:t xml:space="preserve">    （单位盖章）     </w:t>
      </w:r>
      <w:r>
        <w:rPr>
          <w:rFonts w:hint="eastAsia" w:ascii="宋体" w:hAnsi="宋体" w:cs="宋体"/>
          <w:bCs/>
          <w:color w:val="auto"/>
          <w:szCs w:val="21"/>
          <w:highlight w:val="none"/>
          <w:lang w:val="zh-CN"/>
        </w:rPr>
        <w:t xml:space="preserve">          乙</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rPr>
        <w:t>方：</w:t>
      </w:r>
      <w:r>
        <w:rPr>
          <w:rFonts w:hint="eastAsia" w:ascii="宋体" w:hAnsi="宋体" w:cs="宋体"/>
          <w:bCs/>
          <w:color w:val="auto"/>
          <w:szCs w:val="21"/>
          <w:highlight w:val="none"/>
          <w:u w:val="single"/>
          <w:lang w:val="zh-CN"/>
        </w:rPr>
        <w:t xml:space="preserve">    （单位盖章）     </w:t>
      </w:r>
    </w:p>
    <w:p w14:paraId="20A13062">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                               法定代表人</w:t>
      </w:r>
    </w:p>
    <w:p w14:paraId="658CDD53">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                     或授权代表（签字）：</w:t>
      </w:r>
    </w:p>
    <w:p w14:paraId="6E94B9D5">
      <w:pPr>
        <w:spacing w:line="440" w:lineRule="exact"/>
        <w:jc w:val="left"/>
        <w:rPr>
          <w:rFonts w:hint="eastAsia" w:ascii="宋体" w:hAnsi="宋体" w:cs="宋体"/>
          <w:bCs/>
          <w:color w:val="auto"/>
          <w:szCs w:val="21"/>
          <w:highlight w:val="none"/>
        </w:rPr>
      </w:pPr>
      <w:bookmarkStart w:id="296" w:name="_Toc331685783"/>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               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197308DB">
      <w:pPr>
        <w:spacing w:before="162" w:beforeLines="50" w:after="162" w:afterLines="50" w:line="440" w:lineRule="exact"/>
        <w:jc w:val="center"/>
        <w:outlineLvl w:val="3"/>
        <w:rPr>
          <w:b/>
          <w:color w:val="auto"/>
          <w:sz w:val="28"/>
          <w:szCs w:val="28"/>
          <w:highlight w:val="none"/>
        </w:rPr>
      </w:pPr>
      <w:r>
        <w:rPr>
          <w:b/>
          <w:color w:val="auto"/>
          <w:szCs w:val="21"/>
          <w:highlight w:val="none"/>
        </w:rPr>
        <w:br w:type="page"/>
      </w:r>
      <w:r>
        <w:rPr>
          <w:b/>
          <w:color w:val="auto"/>
          <w:sz w:val="28"/>
          <w:szCs w:val="28"/>
          <w:highlight w:val="none"/>
        </w:rPr>
        <w:t>第二部分 合同一般条款</w:t>
      </w:r>
      <w:bookmarkEnd w:id="296"/>
    </w:p>
    <w:p w14:paraId="6368C1FB">
      <w:pPr>
        <w:spacing w:line="440" w:lineRule="exact"/>
        <w:ind w:firstLine="422" w:firstLineChars="200"/>
        <w:outlineLvl w:val="2"/>
        <w:rPr>
          <w:rFonts w:hint="eastAsia" w:ascii="宋体" w:hAnsi="宋体" w:cs="宋体"/>
          <w:b/>
          <w:bCs/>
          <w:color w:val="auto"/>
          <w:szCs w:val="21"/>
          <w:highlight w:val="none"/>
          <w:lang w:val="zh-CN"/>
        </w:rPr>
      </w:pPr>
      <w:bookmarkStart w:id="297" w:name="_Ref467379205"/>
      <w:bookmarkStart w:id="298" w:name="_Ref467379109"/>
      <w:bookmarkStart w:id="299" w:name="_Toc487900349"/>
      <w:bookmarkStart w:id="300" w:name="_Toc16917"/>
      <w:bookmarkStart w:id="301" w:name="_Toc28763"/>
      <w:bookmarkStart w:id="302" w:name="_Toc11397"/>
      <w:bookmarkStart w:id="303" w:name="_Toc19614"/>
      <w:bookmarkStart w:id="304" w:name="_Ref467378404"/>
      <w:bookmarkStart w:id="305" w:name="_Ref467379214"/>
      <w:bookmarkStart w:id="306" w:name="_Ref467379225"/>
      <w:bookmarkStart w:id="307" w:name="_Toc279701240"/>
      <w:bookmarkStart w:id="308" w:name="_Ref467378463"/>
      <w:bookmarkStart w:id="309" w:name="_Ref467379094"/>
      <w:bookmarkStart w:id="310" w:name="_Ref467379101"/>
      <w:bookmarkStart w:id="311" w:name="_Toc259093669"/>
      <w:bookmarkStart w:id="312" w:name="_Ref467378499"/>
      <w:bookmarkStart w:id="313" w:name="_Ref467379195"/>
      <w:r>
        <w:rPr>
          <w:rFonts w:hint="eastAsia" w:ascii="宋体" w:hAnsi="宋体" w:cs="宋体"/>
          <w:b/>
          <w:bCs/>
          <w:color w:val="auto"/>
          <w:szCs w:val="21"/>
          <w:highlight w:val="none"/>
          <w:lang w:val="zh-CN"/>
        </w:rPr>
        <w:t>2.1 定义</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49D7D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本合同中的下列词语应按以下内容进行解释：</w:t>
      </w:r>
    </w:p>
    <w:p w14:paraId="2BF20AD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2.1.1“合同”系指采购人和成交人签订的载明双方当事人所达成的协议，并包括所有的附件、附录和构成合同的其他文件。</w:t>
      </w:r>
    </w:p>
    <w:p w14:paraId="0FF1884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2.1.2“合同价”系指根据合同约定，成交人在完全履行合同义务后，采购人应支付给成交人的价格。</w:t>
      </w:r>
    </w:p>
    <w:p w14:paraId="27B42D8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2.1.3“服务”系指成交人根据合同约定应向采购人履行的除货物和工程以外的其他采购对象，包括采购人自身需要的服务和向社会公众提供的公共服务。</w:t>
      </w:r>
    </w:p>
    <w:p w14:paraId="659C91AC">
      <w:pPr>
        <w:spacing w:line="440" w:lineRule="exact"/>
        <w:ind w:firstLine="420" w:firstLineChars="200"/>
        <w:rPr>
          <w:rFonts w:hint="eastAsia" w:ascii="宋体" w:hAnsi="宋体" w:cs="宋体"/>
          <w:color w:val="auto"/>
          <w:szCs w:val="21"/>
          <w:highlight w:val="none"/>
        </w:rPr>
      </w:pPr>
      <w:bookmarkStart w:id="314" w:name="_Ref467378840"/>
      <w:r>
        <w:rPr>
          <w:rFonts w:hint="eastAsia" w:ascii="宋体" w:hAnsi="宋体" w:cs="宋体"/>
          <w:color w:val="auto"/>
          <w:szCs w:val="21"/>
          <w:highlight w:val="none"/>
        </w:rPr>
        <w:t>2.1.4“甲方”系指与成交人签署合同的采购人</w:t>
      </w:r>
      <w:bookmarkEnd w:id="314"/>
      <w:r>
        <w:rPr>
          <w:rFonts w:hint="eastAsia" w:ascii="宋体" w:hAnsi="宋体" w:cs="宋体"/>
          <w:color w:val="auto"/>
          <w:szCs w:val="21"/>
          <w:highlight w:val="none"/>
        </w:rPr>
        <w:t>；采购人委托采购代理机构代表其与乙方签订合同的，采购人的授权委托书作为合同附件。</w:t>
      </w:r>
    </w:p>
    <w:p w14:paraId="540B5641">
      <w:pPr>
        <w:spacing w:line="440" w:lineRule="exact"/>
        <w:ind w:firstLine="420" w:firstLineChars="200"/>
        <w:rPr>
          <w:rFonts w:hint="eastAsia" w:ascii="宋体" w:hAnsi="宋体" w:cs="宋体"/>
          <w:color w:val="auto"/>
          <w:szCs w:val="21"/>
          <w:highlight w:val="none"/>
        </w:rPr>
      </w:pPr>
      <w:bookmarkStart w:id="315" w:name="_Ref467379400"/>
      <w:r>
        <w:rPr>
          <w:rFonts w:hint="eastAsia" w:ascii="宋体" w:hAnsi="宋体" w:cs="宋体"/>
          <w:color w:val="auto"/>
          <w:szCs w:val="21"/>
          <w:highlight w:val="none"/>
        </w:rPr>
        <w:t>2.1.5“乙方”系指根据合同约定提供服务的</w:t>
      </w:r>
      <w:bookmarkEnd w:id="315"/>
      <w:r>
        <w:rPr>
          <w:rFonts w:hint="eastAsia" w:ascii="宋体" w:hAnsi="宋体" w:cs="宋体"/>
          <w:color w:val="auto"/>
          <w:szCs w:val="21"/>
          <w:highlight w:val="none"/>
        </w:rPr>
        <w:t>成交人；两个以上的自然人、法人或者其他组织组成一个联合体，以一个供应商的身份共同参加采购的，联合体各方均应为乙方或者与乙方相同地位的合同当事人，并就合同约定的事项对甲方承担连带责任。</w:t>
      </w:r>
    </w:p>
    <w:p w14:paraId="6BD2D728">
      <w:pPr>
        <w:spacing w:line="440" w:lineRule="exact"/>
        <w:ind w:firstLine="420" w:firstLineChars="200"/>
        <w:outlineLvl w:val="3"/>
        <w:rPr>
          <w:rFonts w:hint="eastAsia" w:ascii="宋体" w:hAnsi="宋体" w:cs="宋体"/>
          <w:color w:val="auto"/>
          <w:szCs w:val="21"/>
          <w:highlight w:val="none"/>
        </w:rPr>
      </w:pPr>
      <w:bookmarkStart w:id="316" w:name="_Ref467379436"/>
      <w:r>
        <w:rPr>
          <w:rFonts w:hint="eastAsia" w:ascii="宋体" w:hAnsi="宋体" w:cs="宋体"/>
          <w:color w:val="auto"/>
          <w:szCs w:val="21"/>
          <w:highlight w:val="none"/>
        </w:rPr>
        <w:t>2.1.6“现场”系指合同约定提供服务的地点。</w:t>
      </w:r>
      <w:bookmarkEnd w:id="316"/>
    </w:p>
    <w:p w14:paraId="0A64BB4D">
      <w:pPr>
        <w:spacing w:line="440" w:lineRule="exact"/>
        <w:ind w:firstLine="422" w:firstLineChars="200"/>
        <w:outlineLvl w:val="2"/>
        <w:rPr>
          <w:rFonts w:hint="eastAsia" w:ascii="宋体" w:hAnsi="宋体" w:cs="宋体"/>
          <w:b/>
          <w:bCs/>
          <w:color w:val="auto"/>
          <w:szCs w:val="21"/>
          <w:highlight w:val="none"/>
          <w:lang w:val="zh-CN"/>
        </w:rPr>
      </w:pPr>
      <w:bookmarkStart w:id="317" w:name="_Toc13336"/>
      <w:bookmarkStart w:id="318" w:name="_Toc27635"/>
      <w:bookmarkStart w:id="319" w:name="_Toc279701241"/>
      <w:bookmarkStart w:id="320" w:name="_Toc259093670"/>
      <w:bookmarkStart w:id="321" w:name="_Toc32504"/>
      <w:bookmarkStart w:id="322" w:name="_Toc487900350"/>
      <w:bookmarkStart w:id="323" w:name="_Toc29051"/>
      <w:r>
        <w:rPr>
          <w:rFonts w:hint="eastAsia" w:ascii="宋体" w:hAnsi="宋体" w:cs="宋体"/>
          <w:b/>
          <w:bCs/>
          <w:color w:val="auto"/>
          <w:szCs w:val="21"/>
          <w:highlight w:val="none"/>
          <w:lang w:val="zh-CN"/>
        </w:rPr>
        <w:t>2.2 技术规范</w:t>
      </w:r>
      <w:bookmarkEnd w:id="317"/>
      <w:bookmarkEnd w:id="318"/>
      <w:bookmarkEnd w:id="319"/>
      <w:bookmarkEnd w:id="320"/>
      <w:bookmarkEnd w:id="321"/>
      <w:bookmarkEnd w:id="322"/>
      <w:bookmarkEnd w:id="323"/>
    </w:p>
    <w:p w14:paraId="5821F97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F23FBB7">
      <w:pPr>
        <w:spacing w:line="440" w:lineRule="exact"/>
        <w:ind w:firstLine="422" w:firstLineChars="200"/>
        <w:outlineLvl w:val="2"/>
        <w:rPr>
          <w:rFonts w:hint="eastAsia" w:ascii="宋体" w:hAnsi="宋体" w:cs="宋体"/>
          <w:b/>
          <w:bCs/>
          <w:color w:val="auto"/>
          <w:szCs w:val="21"/>
          <w:highlight w:val="none"/>
          <w:lang w:val="zh-CN"/>
        </w:rPr>
      </w:pPr>
      <w:bookmarkStart w:id="324" w:name="_Toc487900351"/>
      <w:bookmarkStart w:id="325" w:name="_Toc16055"/>
      <w:bookmarkStart w:id="326" w:name="_Toc279701242"/>
      <w:bookmarkStart w:id="327" w:name="_Toc259093671"/>
      <w:bookmarkStart w:id="328" w:name="_Toc9829"/>
      <w:bookmarkStart w:id="329" w:name="_Toc27853"/>
      <w:bookmarkStart w:id="330" w:name="_Toc31634"/>
      <w:r>
        <w:rPr>
          <w:rFonts w:hint="eastAsia" w:ascii="宋体" w:hAnsi="宋体" w:cs="宋体"/>
          <w:b/>
          <w:bCs/>
          <w:color w:val="auto"/>
          <w:szCs w:val="21"/>
          <w:highlight w:val="none"/>
          <w:lang w:val="zh-CN"/>
        </w:rPr>
        <w:t>2.3 知识产权</w:t>
      </w:r>
      <w:bookmarkEnd w:id="324"/>
      <w:bookmarkEnd w:id="325"/>
      <w:bookmarkEnd w:id="326"/>
      <w:bookmarkEnd w:id="327"/>
      <w:bookmarkEnd w:id="328"/>
      <w:bookmarkEnd w:id="329"/>
      <w:bookmarkEnd w:id="330"/>
    </w:p>
    <w:p w14:paraId="7ACBBF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4DC02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2.3.2具有知识产权的计算机软件等货物的知识产权归属，详见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290B17C2">
      <w:pPr>
        <w:spacing w:line="440" w:lineRule="exact"/>
        <w:ind w:firstLine="422" w:firstLineChars="200"/>
        <w:outlineLvl w:val="2"/>
        <w:rPr>
          <w:rFonts w:hint="eastAsia" w:ascii="宋体" w:hAnsi="宋体" w:cs="宋体"/>
          <w:b/>
          <w:bCs/>
          <w:color w:val="auto"/>
          <w:szCs w:val="21"/>
          <w:highlight w:val="none"/>
          <w:lang w:val="zh-CN"/>
        </w:rPr>
      </w:pPr>
      <w:bookmarkStart w:id="331" w:name="_Ref467379542"/>
      <w:bookmarkStart w:id="332" w:name="_Ref467379536"/>
      <w:bookmarkStart w:id="333" w:name="_Ref467378591"/>
      <w:bookmarkStart w:id="334" w:name="_Toc279701245"/>
      <w:bookmarkStart w:id="335" w:name="_Ref467378541"/>
      <w:bookmarkStart w:id="336" w:name="_Toc487900354"/>
      <w:bookmarkStart w:id="337" w:name="_Toc259093674"/>
      <w:bookmarkStart w:id="338" w:name="_Ref467379527"/>
      <w:bookmarkStart w:id="339" w:name="_Toc2005"/>
      <w:bookmarkStart w:id="340" w:name="_Toc26182"/>
      <w:bookmarkStart w:id="341" w:name="_Toc19074"/>
      <w:bookmarkStart w:id="342" w:name="_Toc30272"/>
      <w:r>
        <w:rPr>
          <w:rFonts w:hint="eastAsia" w:ascii="宋体" w:hAnsi="宋体" w:cs="宋体"/>
          <w:b/>
          <w:bCs/>
          <w:color w:val="auto"/>
          <w:szCs w:val="21"/>
          <w:highlight w:val="none"/>
          <w:lang w:val="zh-CN"/>
        </w:rPr>
        <w:t>2.</w:t>
      </w:r>
      <w:bookmarkEnd w:id="331"/>
      <w:bookmarkEnd w:id="332"/>
      <w:bookmarkEnd w:id="333"/>
      <w:bookmarkEnd w:id="334"/>
      <w:bookmarkEnd w:id="335"/>
      <w:bookmarkEnd w:id="336"/>
      <w:bookmarkEnd w:id="337"/>
      <w:bookmarkEnd w:id="338"/>
      <w:r>
        <w:rPr>
          <w:rFonts w:hint="eastAsia" w:ascii="宋体" w:hAnsi="宋体" w:cs="宋体"/>
          <w:b/>
          <w:bCs/>
          <w:color w:val="auto"/>
          <w:szCs w:val="21"/>
          <w:highlight w:val="none"/>
          <w:lang w:val="zh-CN"/>
        </w:rPr>
        <w:t>4 履约检查和问题反馈</w:t>
      </w:r>
      <w:bookmarkEnd w:id="339"/>
      <w:bookmarkEnd w:id="340"/>
      <w:bookmarkEnd w:id="341"/>
      <w:bookmarkEnd w:id="342"/>
    </w:p>
    <w:p w14:paraId="5BA6E84D">
      <w:pPr>
        <w:spacing w:line="440" w:lineRule="exact"/>
        <w:ind w:firstLine="420" w:firstLineChars="200"/>
        <w:rPr>
          <w:rFonts w:hint="eastAsia" w:ascii="宋体" w:hAnsi="宋体" w:cs="宋体"/>
          <w:color w:val="auto"/>
          <w:szCs w:val="21"/>
          <w:highlight w:val="none"/>
        </w:rPr>
      </w:pPr>
      <w:bookmarkStart w:id="343" w:name="_Toc186431854"/>
      <w:bookmarkStart w:id="344" w:name="_Toc279701247"/>
      <w:bookmarkStart w:id="345" w:name="_Ref467379793"/>
      <w:bookmarkStart w:id="346" w:name="_Toc487900357"/>
      <w:bookmarkStart w:id="347" w:name="_Toc259093676"/>
      <w:bookmarkStart w:id="348" w:name="_Ref467379807"/>
      <w:r>
        <w:rPr>
          <w:rFonts w:hint="eastAsia" w:ascii="宋体" w:hAnsi="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F45DA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2.4.2合同履行期间，甲方有权将履行过程中出现的问题反馈给乙方，双方当事人应以书面形式约定需要完善和改进的内容</w:t>
      </w:r>
      <w:bookmarkEnd w:id="343"/>
      <w:bookmarkStart w:id="349" w:name="_Toc186431855"/>
      <w:r>
        <w:rPr>
          <w:rFonts w:hint="eastAsia" w:ascii="宋体" w:hAnsi="宋体" w:cs="宋体"/>
          <w:color w:val="auto"/>
          <w:szCs w:val="21"/>
          <w:highlight w:val="none"/>
        </w:rPr>
        <w:t>。</w:t>
      </w:r>
    </w:p>
    <w:bookmarkEnd w:id="349"/>
    <w:p w14:paraId="70CEAFC0">
      <w:pPr>
        <w:spacing w:line="440" w:lineRule="exact"/>
        <w:ind w:firstLine="422" w:firstLineChars="200"/>
        <w:outlineLvl w:val="2"/>
        <w:rPr>
          <w:rFonts w:hint="eastAsia" w:ascii="宋体" w:hAnsi="宋体" w:cs="宋体"/>
          <w:b/>
          <w:bCs/>
          <w:color w:val="auto"/>
          <w:szCs w:val="21"/>
          <w:highlight w:val="none"/>
          <w:lang w:val="zh-CN"/>
        </w:rPr>
      </w:pPr>
      <w:bookmarkStart w:id="350" w:name="_Toc19064"/>
      <w:bookmarkStart w:id="351" w:name="_Toc7836"/>
      <w:bookmarkStart w:id="352" w:name="_Toc28451"/>
      <w:bookmarkStart w:id="353" w:name="_Toc19219"/>
      <w:r>
        <w:rPr>
          <w:rFonts w:hint="eastAsia" w:ascii="宋体" w:hAnsi="宋体" w:cs="宋体"/>
          <w:b/>
          <w:bCs/>
          <w:color w:val="auto"/>
          <w:szCs w:val="21"/>
          <w:highlight w:val="none"/>
          <w:lang w:val="zh-CN"/>
        </w:rPr>
        <w:t>2.5 结算方式和付款条件</w:t>
      </w:r>
      <w:bookmarkEnd w:id="344"/>
      <w:bookmarkEnd w:id="345"/>
      <w:bookmarkEnd w:id="346"/>
      <w:bookmarkEnd w:id="347"/>
      <w:bookmarkEnd w:id="348"/>
      <w:bookmarkEnd w:id="350"/>
      <w:bookmarkEnd w:id="351"/>
      <w:bookmarkEnd w:id="352"/>
      <w:bookmarkEnd w:id="353"/>
    </w:p>
    <w:p w14:paraId="10DA26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7B325E0C">
      <w:pPr>
        <w:spacing w:line="440" w:lineRule="exact"/>
        <w:ind w:firstLine="422" w:firstLineChars="200"/>
        <w:outlineLvl w:val="2"/>
        <w:rPr>
          <w:rFonts w:hint="eastAsia" w:ascii="宋体" w:hAnsi="宋体" w:cs="宋体"/>
          <w:b/>
          <w:bCs/>
          <w:color w:val="auto"/>
          <w:szCs w:val="21"/>
          <w:highlight w:val="none"/>
          <w:lang w:val="zh-CN"/>
        </w:rPr>
      </w:pPr>
      <w:bookmarkStart w:id="354" w:name="_Toc487900358"/>
      <w:bookmarkStart w:id="355" w:name="_Ref467379863"/>
      <w:bookmarkStart w:id="356" w:name="_Toc259093677"/>
      <w:bookmarkStart w:id="357" w:name="_Ref467379852"/>
      <w:bookmarkStart w:id="358" w:name="_Toc279701248"/>
      <w:bookmarkStart w:id="359" w:name="_Ref467379923"/>
      <w:bookmarkStart w:id="360" w:name="_Toc16110"/>
      <w:bookmarkStart w:id="361" w:name="_Toc774"/>
      <w:bookmarkStart w:id="362" w:name="_Toc22347"/>
      <w:bookmarkStart w:id="363" w:name="_Toc3225"/>
      <w:r>
        <w:rPr>
          <w:rFonts w:hint="eastAsia" w:ascii="宋体" w:hAnsi="宋体" w:cs="宋体"/>
          <w:b/>
          <w:bCs/>
          <w:color w:val="auto"/>
          <w:szCs w:val="21"/>
          <w:highlight w:val="none"/>
          <w:lang w:val="zh-CN"/>
        </w:rPr>
        <w:t>2.6 技术资料</w:t>
      </w:r>
      <w:bookmarkEnd w:id="354"/>
      <w:bookmarkEnd w:id="355"/>
      <w:bookmarkEnd w:id="356"/>
      <w:bookmarkEnd w:id="357"/>
      <w:bookmarkEnd w:id="358"/>
      <w:bookmarkEnd w:id="359"/>
      <w:r>
        <w:rPr>
          <w:rFonts w:hint="eastAsia" w:ascii="宋体" w:hAnsi="宋体" w:cs="宋体"/>
          <w:b/>
          <w:bCs/>
          <w:color w:val="auto"/>
          <w:szCs w:val="21"/>
          <w:highlight w:val="none"/>
          <w:lang w:val="zh-CN"/>
        </w:rPr>
        <w:t>和保密义务</w:t>
      </w:r>
      <w:bookmarkEnd w:id="360"/>
      <w:bookmarkEnd w:id="361"/>
      <w:bookmarkEnd w:id="362"/>
      <w:bookmarkEnd w:id="363"/>
    </w:p>
    <w:p w14:paraId="67A8F1F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2.6.1乙方有权依据合同约定和项目需要，向甲方了解有关情况，调阅有关资料等，甲方应予积极配合；</w:t>
      </w:r>
    </w:p>
    <w:p w14:paraId="7249C79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2.6.2乙方有义务妥善保管和保护由甲方提供的前款信息和资料等；</w:t>
      </w:r>
    </w:p>
    <w:p w14:paraId="1DEED2C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765510A">
      <w:pPr>
        <w:spacing w:line="440" w:lineRule="exact"/>
        <w:ind w:firstLine="422" w:firstLineChars="200"/>
        <w:outlineLvl w:val="2"/>
        <w:rPr>
          <w:rFonts w:hint="eastAsia" w:ascii="宋体" w:hAnsi="宋体" w:cs="宋体"/>
          <w:b/>
          <w:bCs/>
          <w:color w:val="auto"/>
          <w:szCs w:val="21"/>
          <w:highlight w:val="none"/>
          <w:lang w:val="zh-CN"/>
        </w:rPr>
      </w:pPr>
      <w:bookmarkStart w:id="364" w:name="_Toc26254"/>
      <w:bookmarkStart w:id="365" w:name="_Toc7860"/>
      <w:r>
        <w:rPr>
          <w:rFonts w:hint="eastAsia" w:ascii="宋体" w:hAnsi="宋体" w:cs="宋体"/>
          <w:b/>
          <w:bCs/>
          <w:color w:val="auto"/>
          <w:szCs w:val="21"/>
          <w:highlight w:val="none"/>
          <w:lang w:val="zh-CN"/>
        </w:rPr>
        <w:t>2.7 质量保证</w:t>
      </w:r>
      <w:bookmarkEnd w:id="364"/>
      <w:bookmarkEnd w:id="365"/>
    </w:p>
    <w:p w14:paraId="7D12AD1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2.7.1乙方应建立和完善履行合同的内部质量保证体系，并提供相关内部规章制度给甲方，以便甲方进行监督检查；</w:t>
      </w:r>
    </w:p>
    <w:p w14:paraId="54683B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2.7.2乙方应保证履行合同的人员数量和素质、软件和硬件设备的配置、场地、环境和设施等满足全面履行合同的要求，并应接受甲方的监督检查。</w:t>
      </w:r>
    </w:p>
    <w:p w14:paraId="446377A1">
      <w:pPr>
        <w:spacing w:line="440" w:lineRule="exact"/>
        <w:ind w:firstLine="422" w:firstLineChars="200"/>
        <w:outlineLvl w:val="2"/>
        <w:rPr>
          <w:rFonts w:hint="eastAsia" w:ascii="宋体" w:hAnsi="宋体" w:cs="宋体"/>
          <w:b/>
          <w:color w:val="auto"/>
          <w:szCs w:val="21"/>
          <w:highlight w:val="none"/>
        </w:rPr>
      </w:pPr>
      <w:bookmarkStart w:id="366" w:name="_Toc22267"/>
      <w:bookmarkStart w:id="367" w:name="_Toc15299"/>
      <w:r>
        <w:rPr>
          <w:rFonts w:hint="eastAsia" w:ascii="宋体" w:hAnsi="宋体" w:cs="宋体"/>
          <w:b/>
          <w:color w:val="auto"/>
          <w:szCs w:val="21"/>
          <w:highlight w:val="none"/>
        </w:rPr>
        <w:t>2.8 延迟履行</w:t>
      </w:r>
      <w:bookmarkEnd w:id="366"/>
      <w:bookmarkEnd w:id="367"/>
    </w:p>
    <w:p w14:paraId="52E72E3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DD57AFC">
      <w:pPr>
        <w:spacing w:line="440" w:lineRule="exact"/>
        <w:ind w:firstLine="422" w:firstLineChars="200"/>
        <w:outlineLvl w:val="2"/>
        <w:rPr>
          <w:rFonts w:hint="eastAsia" w:ascii="宋体" w:hAnsi="宋体" w:cs="宋体"/>
          <w:b/>
          <w:bCs/>
          <w:color w:val="auto"/>
          <w:szCs w:val="21"/>
          <w:highlight w:val="none"/>
          <w:lang w:val="zh-CN"/>
        </w:rPr>
      </w:pPr>
      <w:bookmarkStart w:id="368" w:name="_Toc1690"/>
      <w:bookmarkStart w:id="369" w:name="_Toc7502"/>
      <w:bookmarkStart w:id="370" w:name="_Toc279701254"/>
      <w:bookmarkStart w:id="371" w:name="_Ref467378121"/>
      <w:bookmarkStart w:id="372" w:name="_Toc487900364"/>
      <w:bookmarkStart w:id="373" w:name="_Toc259093683"/>
      <w:r>
        <w:rPr>
          <w:rFonts w:hint="eastAsia" w:ascii="宋体" w:hAnsi="宋体" w:cs="宋体"/>
          <w:b/>
          <w:bCs/>
          <w:color w:val="auto"/>
          <w:szCs w:val="21"/>
          <w:highlight w:val="none"/>
          <w:lang w:val="zh-CN"/>
        </w:rPr>
        <w:t>2.9 合同变更</w:t>
      </w:r>
      <w:bookmarkEnd w:id="368"/>
      <w:bookmarkEnd w:id="369"/>
    </w:p>
    <w:p w14:paraId="63FE07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2.9.1双方当事人协商一致，可以签订书面补充合同的形式变更合同，但不得违背采购文件确定的事项；</w:t>
      </w:r>
    </w:p>
    <w:p w14:paraId="2F097CD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374" w:name="_Toc487900369"/>
      <w:bookmarkStart w:id="375" w:name="_Toc259093688"/>
      <w:bookmarkStart w:id="376" w:name="_Toc279701259"/>
    </w:p>
    <w:p w14:paraId="7567CBC3">
      <w:pPr>
        <w:spacing w:line="440" w:lineRule="exact"/>
        <w:ind w:firstLine="422" w:firstLineChars="200"/>
        <w:outlineLvl w:val="2"/>
        <w:rPr>
          <w:rFonts w:hint="eastAsia" w:ascii="宋体" w:hAnsi="宋体" w:cs="宋体"/>
          <w:b/>
          <w:bCs/>
          <w:color w:val="auto"/>
          <w:szCs w:val="21"/>
          <w:highlight w:val="none"/>
          <w:lang w:val="zh-CN"/>
        </w:rPr>
      </w:pPr>
      <w:bookmarkStart w:id="377" w:name="_Toc22955"/>
      <w:bookmarkStart w:id="378" w:name="_Toc15237"/>
      <w:bookmarkStart w:id="379" w:name="_Toc3172"/>
      <w:bookmarkStart w:id="380" w:name="_Toc10366"/>
      <w:r>
        <w:rPr>
          <w:rFonts w:hint="eastAsia" w:ascii="宋体" w:hAnsi="宋体" w:cs="宋体"/>
          <w:b/>
          <w:bCs/>
          <w:color w:val="auto"/>
          <w:szCs w:val="21"/>
          <w:highlight w:val="none"/>
          <w:lang w:val="zh-CN"/>
        </w:rPr>
        <w:t>2.10 合同转让</w:t>
      </w:r>
      <w:bookmarkEnd w:id="374"/>
      <w:bookmarkEnd w:id="375"/>
      <w:bookmarkEnd w:id="376"/>
      <w:r>
        <w:rPr>
          <w:rFonts w:hint="eastAsia" w:ascii="宋体" w:hAnsi="宋体" w:cs="宋体"/>
          <w:b/>
          <w:bCs/>
          <w:color w:val="auto"/>
          <w:szCs w:val="21"/>
          <w:highlight w:val="none"/>
          <w:lang w:val="zh-CN"/>
        </w:rPr>
        <w:t>和分包</w:t>
      </w:r>
      <w:bookmarkEnd w:id="377"/>
      <w:bookmarkEnd w:id="378"/>
      <w:bookmarkEnd w:id="379"/>
      <w:bookmarkEnd w:id="380"/>
    </w:p>
    <w:p w14:paraId="3752FA4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AA7CEDE">
      <w:pPr>
        <w:spacing w:line="440" w:lineRule="exact"/>
        <w:ind w:firstLine="422" w:firstLineChars="200"/>
        <w:outlineLvl w:val="2"/>
        <w:rPr>
          <w:rFonts w:hint="eastAsia" w:ascii="宋体" w:hAnsi="宋体" w:cs="宋体"/>
          <w:b/>
          <w:bCs/>
          <w:color w:val="auto"/>
          <w:szCs w:val="21"/>
          <w:highlight w:val="none"/>
          <w:lang w:val="zh-CN"/>
        </w:rPr>
      </w:pPr>
      <w:bookmarkStart w:id="381" w:name="_Toc14066"/>
      <w:bookmarkStart w:id="382" w:name="_Toc14088"/>
      <w:bookmarkStart w:id="383" w:name="_Toc13566"/>
      <w:bookmarkStart w:id="384" w:name="_Toc16508"/>
      <w:r>
        <w:rPr>
          <w:rFonts w:hint="eastAsia" w:ascii="宋体" w:hAnsi="宋体" w:cs="宋体"/>
          <w:b/>
          <w:bCs/>
          <w:color w:val="auto"/>
          <w:szCs w:val="21"/>
          <w:highlight w:val="none"/>
          <w:lang w:val="zh-CN"/>
        </w:rPr>
        <w:t>2.11 不可抗力</w:t>
      </w:r>
      <w:bookmarkEnd w:id="381"/>
      <w:bookmarkEnd w:id="382"/>
      <w:bookmarkEnd w:id="383"/>
      <w:bookmarkEnd w:id="384"/>
    </w:p>
    <w:p w14:paraId="5B8413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2.11.1如果任何一方遭遇法律规定的不可抗力，致使合同履行受阻时，履行合同的期限应予延长，延长的期限应相当于不可抗力所影响的时间；</w:t>
      </w:r>
    </w:p>
    <w:p w14:paraId="7567E3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2.11.2因不可抗力致使不能实现合同目的的，当事人可以解除合同；</w:t>
      </w:r>
    </w:p>
    <w:p w14:paraId="79D8437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2.11.3因不可抗力致使合同有变更必要的，双方当事人应在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约定时间内以书面形式变更合同；</w:t>
      </w:r>
    </w:p>
    <w:p w14:paraId="2C2F7B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2.11.4受不可抗力影响的一方在不可抗力发生后，应在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约定时间内以书面形式通知对方当事人，并在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约定时间内，将有关部门出具的证明文件送达对方当事人。</w:t>
      </w:r>
    </w:p>
    <w:p w14:paraId="72356161">
      <w:pPr>
        <w:spacing w:line="440" w:lineRule="exact"/>
        <w:ind w:firstLine="422" w:firstLineChars="200"/>
        <w:outlineLvl w:val="2"/>
        <w:rPr>
          <w:rFonts w:hint="eastAsia" w:ascii="宋体" w:hAnsi="宋体" w:cs="宋体"/>
          <w:b/>
          <w:bCs/>
          <w:color w:val="auto"/>
          <w:szCs w:val="21"/>
          <w:highlight w:val="none"/>
          <w:lang w:val="zh-CN"/>
        </w:rPr>
      </w:pPr>
      <w:bookmarkStart w:id="385" w:name="_Toc30676"/>
      <w:bookmarkStart w:id="386" w:name="_Toc487900365"/>
      <w:bookmarkStart w:id="387" w:name="_Toc689"/>
      <w:bookmarkStart w:id="388" w:name="_Toc259093684"/>
      <w:bookmarkStart w:id="389" w:name="_Toc30274"/>
      <w:bookmarkStart w:id="390" w:name="_Toc279701255"/>
      <w:bookmarkStart w:id="391" w:name="_Toc6969"/>
      <w:r>
        <w:rPr>
          <w:rFonts w:hint="eastAsia" w:ascii="宋体" w:hAnsi="宋体" w:cs="宋体"/>
          <w:b/>
          <w:bCs/>
          <w:color w:val="auto"/>
          <w:szCs w:val="21"/>
          <w:highlight w:val="none"/>
          <w:lang w:val="zh-CN"/>
        </w:rPr>
        <w:t>2.12 税费</w:t>
      </w:r>
      <w:bookmarkEnd w:id="385"/>
      <w:bookmarkEnd w:id="386"/>
      <w:bookmarkEnd w:id="387"/>
      <w:bookmarkEnd w:id="388"/>
      <w:bookmarkEnd w:id="389"/>
      <w:bookmarkEnd w:id="390"/>
      <w:bookmarkEnd w:id="391"/>
    </w:p>
    <w:p w14:paraId="32268B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与合同有关的一切税费，均按照中华人民共和国法律的相关规定缴纳。</w:t>
      </w:r>
    </w:p>
    <w:p w14:paraId="6A09AC94">
      <w:pPr>
        <w:spacing w:line="440" w:lineRule="exact"/>
        <w:ind w:firstLine="422" w:firstLineChars="200"/>
        <w:outlineLvl w:val="2"/>
        <w:rPr>
          <w:rFonts w:hint="eastAsia" w:ascii="宋体" w:hAnsi="宋体" w:cs="宋体"/>
          <w:b/>
          <w:bCs/>
          <w:color w:val="auto"/>
          <w:szCs w:val="21"/>
          <w:highlight w:val="none"/>
          <w:lang w:val="zh-CN"/>
        </w:rPr>
      </w:pPr>
      <w:bookmarkStart w:id="392" w:name="_Toc487900368"/>
      <w:bookmarkStart w:id="393" w:name="_Toc16959"/>
      <w:bookmarkStart w:id="394" w:name="_Toc279701258"/>
      <w:bookmarkStart w:id="395" w:name="_Toc24977"/>
      <w:bookmarkStart w:id="396" w:name="_Toc259093687"/>
      <w:bookmarkStart w:id="397" w:name="_Toc8298"/>
      <w:bookmarkStart w:id="398" w:name="_Toc7102"/>
      <w:r>
        <w:rPr>
          <w:rFonts w:hint="eastAsia" w:ascii="宋体" w:hAnsi="宋体" w:cs="宋体"/>
          <w:b/>
          <w:bCs/>
          <w:color w:val="auto"/>
          <w:szCs w:val="21"/>
          <w:highlight w:val="none"/>
          <w:lang w:val="zh-CN"/>
        </w:rPr>
        <w:t>2.13 乙方破产</w:t>
      </w:r>
      <w:bookmarkEnd w:id="392"/>
      <w:bookmarkEnd w:id="393"/>
      <w:bookmarkEnd w:id="394"/>
      <w:bookmarkEnd w:id="395"/>
      <w:bookmarkEnd w:id="396"/>
      <w:bookmarkEnd w:id="397"/>
      <w:bookmarkEnd w:id="398"/>
    </w:p>
    <w:p w14:paraId="372BCC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EB6618">
      <w:pPr>
        <w:spacing w:line="440" w:lineRule="exact"/>
        <w:ind w:firstLine="422" w:firstLineChars="200"/>
        <w:outlineLvl w:val="2"/>
        <w:rPr>
          <w:rFonts w:hint="eastAsia" w:ascii="宋体" w:hAnsi="宋体" w:cs="宋体"/>
          <w:b/>
          <w:color w:val="auto"/>
          <w:szCs w:val="21"/>
          <w:highlight w:val="none"/>
        </w:rPr>
      </w:pPr>
      <w:bookmarkStart w:id="399" w:name="_Toc15387"/>
      <w:bookmarkStart w:id="400" w:name="_Toc29333"/>
      <w:bookmarkStart w:id="401" w:name="_Toc6134"/>
      <w:bookmarkStart w:id="402" w:name="_Toc12640"/>
      <w:r>
        <w:rPr>
          <w:rFonts w:hint="eastAsia" w:ascii="宋体" w:hAnsi="宋体" w:cs="宋体"/>
          <w:b/>
          <w:bCs/>
          <w:color w:val="auto"/>
          <w:szCs w:val="21"/>
          <w:highlight w:val="none"/>
          <w:lang w:val="zh-CN"/>
        </w:rPr>
        <w:t>2.14 合同中止、终止</w:t>
      </w:r>
      <w:bookmarkEnd w:id="399"/>
      <w:bookmarkEnd w:id="400"/>
      <w:bookmarkEnd w:id="401"/>
      <w:bookmarkEnd w:id="402"/>
    </w:p>
    <w:p w14:paraId="3C41B7DC">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2.14.1双方当事人不得擅自中止或者终止合同；</w:t>
      </w:r>
    </w:p>
    <w:p w14:paraId="7A16A5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1901BF5E">
      <w:pPr>
        <w:spacing w:line="440" w:lineRule="exact"/>
        <w:ind w:firstLine="422" w:firstLineChars="200"/>
        <w:outlineLvl w:val="2"/>
        <w:rPr>
          <w:rFonts w:hint="eastAsia" w:ascii="宋体" w:hAnsi="宋体" w:cs="宋体"/>
          <w:b/>
          <w:bCs/>
          <w:color w:val="auto"/>
          <w:szCs w:val="21"/>
          <w:highlight w:val="none"/>
          <w:lang w:val="zh-CN"/>
        </w:rPr>
      </w:pPr>
      <w:bookmarkStart w:id="403" w:name="_Toc1125"/>
      <w:bookmarkStart w:id="404" w:name="_Toc14563"/>
      <w:bookmarkStart w:id="405" w:name="_Toc9897"/>
      <w:bookmarkStart w:id="406" w:name="_Toc6596"/>
      <w:r>
        <w:rPr>
          <w:rFonts w:hint="eastAsia" w:ascii="宋体" w:hAnsi="宋体" w:cs="宋体"/>
          <w:b/>
          <w:bCs/>
          <w:color w:val="auto"/>
          <w:szCs w:val="21"/>
          <w:highlight w:val="none"/>
          <w:lang w:val="zh-CN"/>
        </w:rPr>
        <w:t>2.15 检验和验收</w:t>
      </w:r>
      <w:bookmarkEnd w:id="403"/>
      <w:bookmarkEnd w:id="404"/>
      <w:bookmarkEnd w:id="405"/>
      <w:bookmarkEnd w:id="406"/>
    </w:p>
    <w:p w14:paraId="0C0B9F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2.15.1乙方按照</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的约定，定期提交服务报告，甲方按照</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的约定进行定期验收；</w:t>
      </w:r>
    </w:p>
    <w:p w14:paraId="390C01E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DBED2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2.15.3检验和验收标准、程序等具体内容以及前述验收书的效力详见</w:t>
      </w:r>
      <w:r>
        <w:rPr>
          <w:rFonts w:hint="eastAsia" w:ascii="宋体" w:hAnsi="宋体" w:cs="宋体"/>
          <w:b/>
          <w:i/>
          <w:color w:val="auto"/>
          <w:szCs w:val="21"/>
          <w:highlight w:val="none"/>
          <w:u w:val="single"/>
        </w:rPr>
        <w:t>合同专用条款</w:t>
      </w:r>
      <w:r>
        <w:rPr>
          <w:rFonts w:hint="eastAsia" w:ascii="宋体" w:hAnsi="宋体" w:cs="宋体"/>
          <w:i/>
          <w:color w:val="auto"/>
          <w:szCs w:val="21"/>
          <w:highlight w:val="none"/>
        </w:rPr>
        <w:t>。</w:t>
      </w:r>
    </w:p>
    <w:bookmarkEnd w:id="370"/>
    <w:bookmarkEnd w:id="371"/>
    <w:bookmarkEnd w:id="372"/>
    <w:bookmarkEnd w:id="373"/>
    <w:p w14:paraId="2186F53A">
      <w:pPr>
        <w:spacing w:line="440" w:lineRule="exact"/>
        <w:ind w:firstLine="422" w:firstLineChars="200"/>
        <w:outlineLvl w:val="2"/>
        <w:rPr>
          <w:rFonts w:hint="eastAsia" w:ascii="宋体" w:hAnsi="宋体" w:cs="宋体"/>
          <w:b/>
          <w:bCs/>
          <w:color w:val="auto"/>
          <w:szCs w:val="21"/>
          <w:highlight w:val="none"/>
        </w:rPr>
      </w:pPr>
      <w:bookmarkStart w:id="407" w:name="_Toc12773"/>
      <w:bookmarkStart w:id="408" w:name="_Toc259093692"/>
      <w:bookmarkStart w:id="409" w:name="_Toc18567"/>
      <w:bookmarkStart w:id="410" w:name="_Toc279701263"/>
      <w:bookmarkStart w:id="411" w:name="_Toc2778"/>
      <w:bookmarkStart w:id="412" w:name="_Toc487900373"/>
      <w:r>
        <w:rPr>
          <w:rFonts w:hint="eastAsia" w:ascii="宋体" w:hAnsi="宋体" w:cs="宋体"/>
          <w:b/>
          <w:bCs/>
          <w:color w:val="auto"/>
          <w:szCs w:val="21"/>
          <w:highlight w:val="none"/>
        </w:rPr>
        <w:t xml:space="preserve">2.16 </w:t>
      </w:r>
      <w:r>
        <w:rPr>
          <w:rFonts w:hint="eastAsia" w:ascii="宋体" w:hAnsi="宋体" w:cs="宋体"/>
          <w:b/>
          <w:bCs/>
          <w:color w:val="auto"/>
          <w:szCs w:val="21"/>
          <w:highlight w:val="none"/>
          <w:lang w:val="zh-CN"/>
        </w:rPr>
        <w:t>合同使用的文字和适用的法律</w:t>
      </w:r>
      <w:bookmarkEnd w:id="407"/>
      <w:bookmarkEnd w:id="408"/>
      <w:bookmarkEnd w:id="409"/>
      <w:bookmarkEnd w:id="410"/>
      <w:bookmarkEnd w:id="411"/>
      <w:bookmarkEnd w:id="412"/>
    </w:p>
    <w:p w14:paraId="1C27BF6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2.16.1合同使用汉语进行书写、变更和解释；</w:t>
      </w:r>
    </w:p>
    <w:p w14:paraId="4F44F3B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2.16.2合同适用中华人民共和国法律。</w:t>
      </w:r>
    </w:p>
    <w:p w14:paraId="320716F2">
      <w:pPr>
        <w:spacing w:line="440" w:lineRule="exact"/>
        <w:ind w:firstLine="422" w:firstLineChars="200"/>
        <w:outlineLvl w:val="2"/>
        <w:rPr>
          <w:rFonts w:hint="eastAsia" w:ascii="宋体" w:hAnsi="宋体" w:cs="宋体"/>
          <w:b/>
          <w:color w:val="auto"/>
          <w:szCs w:val="21"/>
          <w:highlight w:val="none"/>
        </w:rPr>
      </w:pPr>
      <w:bookmarkStart w:id="413" w:name="_Toc19890"/>
      <w:bookmarkStart w:id="414" w:name="_Toc14001"/>
      <w:bookmarkStart w:id="415" w:name="_Toc31637"/>
      <w:bookmarkStart w:id="416" w:name="_Toc6885"/>
      <w:r>
        <w:rPr>
          <w:rFonts w:hint="eastAsia" w:ascii="宋体" w:hAnsi="宋体" w:cs="宋体"/>
          <w:b/>
          <w:bCs/>
          <w:color w:val="auto"/>
          <w:szCs w:val="21"/>
          <w:highlight w:val="none"/>
          <w:lang w:val="zh-CN"/>
        </w:rPr>
        <w:t>2.1</w:t>
      </w:r>
      <w:r>
        <w:rPr>
          <w:rFonts w:hint="eastAsia" w:ascii="宋体" w:hAnsi="宋体" w:cs="宋体"/>
          <w:b/>
          <w:bCs/>
          <w:color w:val="auto"/>
          <w:szCs w:val="21"/>
          <w:highlight w:val="none"/>
        </w:rPr>
        <w:t>7</w:t>
      </w:r>
      <w:r>
        <w:rPr>
          <w:rFonts w:hint="eastAsia" w:ascii="宋体" w:hAnsi="宋体" w:cs="宋体"/>
          <w:b/>
          <w:bCs/>
          <w:color w:val="auto"/>
          <w:szCs w:val="21"/>
          <w:highlight w:val="none"/>
          <w:lang w:val="zh-CN"/>
        </w:rPr>
        <w:t xml:space="preserve"> 合同份数</w:t>
      </w:r>
      <w:bookmarkEnd w:id="413"/>
      <w:bookmarkEnd w:id="414"/>
      <w:bookmarkEnd w:id="415"/>
      <w:bookmarkEnd w:id="416"/>
    </w:p>
    <w:p w14:paraId="2D9833A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合同份数按</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规定，每份均具有同等法律效力。</w:t>
      </w:r>
    </w:p>
    <w:p w14:paraId="3F7B7DF5">
      <w:pPr>
        <w:pageBreakBefore/>
        <w:spacing w:before="162" w:beforeLines="50" w:after="162" w:afterLines="50" w:line="440" w:lineRule="exact"/>
        <w:jc w:val="center"/>
        <w:outlineLvl w:val="3"/>
        <w:rPr>
          <w:b/>
          <w:color w:val="auto"/>
          <w:sz w:val="28"/>
          <w:szCs w:val="28"/>
          <w:highlight w:val="none"/>
        </w:rPr>
      </w:pPr>
      <w:bookmarkStart w:id="417" w:name="_Toc331685784"/>
      <w:r>
        <w:rPr>
          <w:b/>
          <w:color w:val="auto"/>
          <w:sz w:val="28"/>
          <w:szCs w:val="28"/>
          <w:highlight w:val="none"/>
        </w:rPr>
        <w:t>第三部分 合同专用条款</w:t>
      </w:r>
      <w:bookmarkEnd w:id="417"/>
    </w:p>
    <w:p w14:paraId="228DEA44">
      <w:pPr>
        <w:spacing w:line="360" w:lineRule="auto"/>
        <w:ind w:firstLine="435"/>
        <w:rPr>
          <w:color w:val="auto"/>
          <w:szCs w:val="21"/>
          <w:highlight w:val="none"/>
        </w:rPr>
      </w:pPr>
      <w:r>
        <w:rPr>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788E0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3BC900E2">
            <w:pPr>
              <w:jc w:val="center"/>
              <w:rPr>
                <w:b/>
                <w:color w:val="auto"/>
                <w:szCs w:val="21"/>
                <w:highlight w:val="none"/>
              </w:rPr>
            </w:pPr>
            <w:r>
              <w:rPr>
                <w:b/>
                <w:color w:val="auto"/>
                <w:szCs w:val="21"/>
                <w:highlight w:val="none"/>
              </w:rPr>
              <w:t>条款号</w:t>
            </w:r>
          </w:p>
        </w:tc>
        <w:tc>
          <w:tcPr>
            <w:tcW w:w="7569" w:type="dxa"/>
            <w:noWrap w:val="0"/>
            <w:vAlign w:val="center"/>
          </w:tcPr>
          <w:p w14:paraId="1B1D557E">
            <w:pPr>
              <w:jc w:val="center"/>
              <w:rPr>
                <w:b/>
                <w:color w:val="auto"/>
                <w:szCs w:val="21"/>
                <w:highlight w:val="none"/>
              </w:rPr>
            </w:pPr>
            <w:r>
              <w:rPr>
                <w:b/>
                <w:color w:val="auto"/>
                <w:szCs w:val="21"/>
                <w:highlight w:val="none"/>
              </w:rPr>
              <w:t>约定内容</w:t>
            </w:r>
          </w:p>
        </w:tc>
      </w:tr>
      <w:tr w14:paraId="0BE9B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4233C1CC">
            <w:pPr>
              <w:spacing w:line="560" w:lineRule="exact"/>
              <w:rPr>
                <w:color w:val="auto"/>
                <w:szCs w:val="21"/>
                <w:highlight w:val="none"/>
              </w:rPr>
            </w:pPr>
          </w:p>
        </w:tc>
        <w:tc>
          <w:tcPr>
            <w:tcW w:w="7569" w:type="dxa"/>
            <w:noWrap w:val="0"/>
            <w:vAlign w:val="center"/>
          </w:tcPr>
          <w:p w14:paraId="1814C227">
            <w:pPr>
              <w:spacing w:line="560" w:lineRule="exact"/>
              <w:rPr>
                <w:color w:val="auto"/>
                <w:szCs w:val="21"/>
                <w:highlight w:val="none"/>
              </w:rPr>
            </w:pPr>
          </w:p>
        </w:tc>
      </w:tr>
      <w:tr w14:paraId="46D85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65E50AB">
            <w:pPr>
              <w:spacing w:line="560" w:lineRule="exact"/>
              <w:rPr>
                <w:color w:val="auto"/>
                <w:szCs w:val="21"/>
                <w:highlight w:val="none"/>
              </w:rPr>
            </w:pPr>
          </w:p>
        </w:tc>
        <w:tc>
          <w:tcPr>
            <w:tcW w:w="7569" w:type="dxa"/>
            <w:noWrap w:val="0"/>
            <w:vAlign w:val="center"/>
          </w:tcPr>
          <w:p w14:paraId="0C170648">
            <w:pPr>
              <w:spacing w:line="560" w:lineRule="exact"/>
              <w:rPr>
                <w:color w:val="auto"/>
                <w:szCs w:val="21"/>
                <w:highlight w:val="none"/>
              </w:rPr>
            </w:pPr>
          </w:p>
        </w:tc>
      </w:tr>
      <w:tr w14:paraId="0151C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ED5BF35">
            <w:pPr>
              <w:spacing w:line="560" w:lineRule="exact"/>
              <w:rPr>
                <w:color w:val="auto"/>
                <w:szCs w:val="21"/>
                <w:highlight w:val="none"/>
              </w:rPr>
            </w:pPr>
          </w:p>
        </w:tc>
        <w:tc>
          <w:tcPr>
            <w:tcW w:w="7569" w:type="dxa"/>
            <w:noWrap w:val="0"/>
            <w:vAlign w:val="center"/>
          </w:tcPr>
          <w:p w14:paraId="0A5BC716">
            <w:pPr>
              <w:spacing w:line="560" w:lineRule="exact"/>
              <w:rPr>
                <w:color w:val="auto"/>
                <w:szCs w:val="21"/>
                <w:highlight w:val="none"/>
              </w:rPr>
            </w:pPr>
          </w:p>
        </w:tc>
      </w:tr>
      <w:tr w14:paraId="46E2F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2A761E8">
            <w:pPr>
              <w:spacing w:line="560" w:lineRule="exact"/>
              <w:rPr>
                <w:color w:val="auto"/>
                <w:szCs w:val="21"/>
                <w:highlight w:val="none"/>
              </w:rPr>
            </w:pPr>
          </w:p>
        </w:tc>
        <w:tc>
          <w:tcPr>
            <w:tcW w:w="7569" w:type="dxa"/>
            <w:noWrap w:val="0"/>
            <w:vAlign w:val="center"/>
          </w:tcPr>
          <w:p w14:paraId="1B5C70DD">
            <w:pPr>
              <w:spacing w:line="560" w:lineRule="exact"/>
              <w:rPr>
                <w:color w:val="auto"/>
                <w:szCs w:val="21"/>
                <w:highlight w:val="none"/>
              </w:rPr>
            </w:pPr>
          </w:p>
        </w:tc>
      </w:tr>
      <w:tr w14:paraId="12758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CC9DDFA">
            <w:pPr>
              <w:spacing w:line="560" w:lineRule="exact"/>
              <w:rPr>
                <w:color w:val="auto"/>
                <w:szCs w:val="21"/>
                <w:highlight w:val="none"/>
              </w:rPr>
            </w:pPr>
          </w:p>
        </w:tc>
        <w:tc>
          <w:tcPr>
            <w:tcW w:w="7569" w:type="dxa"/>
            <w:noWrap w:val="0"/>
            <w:vAlign w:val="center"/>
          </w:tcPr>
          <w:p w14:paraId="602948AB">
            <w:pPr>
              <w:spacing w:line="560" w:lineRule="exact"/>
              <w:rPr>
                <w:color w:val="auto"/>
                <w:szCs w:val="21"/>
                <w:highlight w:val="none"/>
                <w:u w:val="single"/>
              </w:rPr>
            </w:pPr>
          </w:p>
        </w:tc>
      </w:tr>
      <w:tr w14:paraId="6D400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6E7A97F">
            <w:pPr>
              <w:spacing w:line="560" w:lineRule="exact"/>
              <w:rPr>
                <w:color w:val="auto"/>
                <w:szCs w:val="21"/>
                <w:highlight w:val="none"/>
              </w:rPr>
            </w:pPr>
          </w:p>
        </w:tc>
        <w:tc>
          <w:tcPr>
            <w:tcW w:w="7569" w:type="dxa"/>
            <w:noWrap w:val="0"/>
            <w:vAlign w:val="center"/>
          </w:tcPr>
          <w:p w14:paraId="4D1DC68D">
            <w:pPr>
              <w:spacing w:line="560" w:lineRule="exact"/>
              <w:rPr>
                <w:color w:val="auto"/>
                <w:szCs w:val="21"/>
                <w:highlight w:val="none"/>
              </w:rPr>
            </w:pPr>
          </w:p>
        </w:tc>
      </w:tr>
      <w:tr w14:paraId="5555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C2FB931">
            <w:pPr>
              <w:spacing w:line="560" w:lineRule="exact"/>
              <w:rPr>
                <w:color w:val="auto"/>
                <w:szCs w:val="21"/>
                <w:highlight w:val="none"/>
              </w:rPr>
            </w:pPr>
          </w:p>
        </w:tc>
        <w:tc>
          <w:tcPr>
            <w:tcW w:w="7569" w:type="dxa"/>
            <w:noWrap w:val="0"/>
            <w:vAlign w:val="center"/>
          </w:tcPr>
          <w:p w14:paraId="7525F2B6">
            <w:pPr>
              <w:spacing w:line="560" w:lineRule="exact"/>
              <w:rPr>
                <w:color w:val="auto"/>
                <w:szCs w:val="21"/>
                <w:highlight w:val="none"/>
                <w:u w:val="single"/>
              </w:rPr>
            </w:pPr>
          </w:p>
        </w:tc>
      </w:tr>
      <w:tr w14:paraId="710BA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B3D8AE5">
            <w:pPr>
              <w:spacing w:line="560" w:lineRule="exact"/>
              <w:rPr>
                <w:color w:val="auto"/>
                <w:szCs w:val="21"/>
                <w:highlight w:val="none"/>
              </w:rPr>
            </w:pPr>
          </w:p>
        </w:tc>
        <w:tc>
          <w:tcPr>
            <w:tcW w:w="7569" w:type="dxa"/>
            <w:noWrap w:val="0"/>
            <w:vAlign w:val="center"/>
          </w:tcPr>
          <w:p w14:paraId="66994B29">
            <w:pPr>
              <w:spacing w:line="560" w:lineRule="exact"/>
              <w:rPr>
                <w:color w:val="auto"/>
                <w:szCs w:val="21"/>
                <w:highlight w:val="none"/>
              </w:rPr>
            </w:pPr>
          </w:p>
        </w:tc>
      </w:tr>
      <w:tr w14:paraId="298F7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C4153DE">
            <w:pPr>
              <w:spacing w:line="560" w:lineRule="exact"/>
              <w:rPr>
                <w:color w:val="auto"/>
                <w:szCs w:val="21"/>
                <w:highlight w:val="none"/>
              </w:rPr>
            </w:pPr>
          </w:p>
        </w:tc>
        <w:tc>
          <w:tcPr>
            <w:tcW w:w="7569" w:type="dxa"/>
            <w:noWrap w:val="0"/>
            <w:vAlign w:val="center"/>
          </w:tcPr>
          <w:p w14:paraId="64E896C9">
            <w:pPr>
              <w:spacing w:line="560" w:lineRule="exact"/>
              <w:rPr>
                <w:color w:val="auto"/>
                <w:szCs w:val="21"/>
                <w:highlight w:val="none"/>
              </w:rPr>
            </w:pPr>
          </w:p>
        </w:tc>
      </w:tr>
      <w:tr w14:paraId="086A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EDB1ABC">
            <w:pPr>
              <w:spacing w:line="560" w:lineRule="exact"/>
              <w:rPr>
                <w:color w:val="auto"/>
                <w:szCs w:val="21"/>
                <w:highlight w:val="none"/>
              </w:rPr>
            </w:pPr>
          </w:p>
        </w:tc>
        <w:tc>
          <w:tcPr>
            <w:tcW w:w="7569" w:type="dxa"/>
            <w:noWrap w:val="0"/>
            <w:vAlign w:val="center"/>
          </w:tcPr>
          <w:p w14:paraId="2A3446AE">
            <w:pPr>
              <w:spacing w:line="560" w:lineRule="exact"/>
              <w:rPr>
                <w:color w:val="auto"/>
                <w:szCs w:val="21"/>
                <w:highlight w:val="none"/>
              </w:rPr>
            </w:pPr>
          </w:p>
        </w:tc>
      </w:tr>
      <w:tr w14:paraId="34117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95A5F0D">
            <w:pPr>
              <w:spacing w:line="560" w:lineRule="exact"/>
              <w:rPr>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5B129614">
            <w:pPr>
              <w:spacing w:line="560" w:lineRule="exact"/>
              <w:rPr>
                <w:color w:val="auto"/>
                <w:szCs w:val="21"/>
                <w:highlight w:val="none"/>
              </w:rPr>
            </w:pPr>
          </w:p>
        </w:tc>
      </w:tr>
    </w:tbl>
    <w:p w14:paraId="704497F9">
      <w:pPr>
        <w:spacing w:before="162" w:beforeLines="50" w:after="162" w:afterLines="50" w:line="440" w:lineRule="exact"/>
        <w:rPr>
          <w:rFonts w:hint="eastAsia" w:ascii="宋体" w:hAnsi="宋体" w:cs="宋体"/>
          <w:b/>
          <w:color w:val="auto"/>
          <w:sz w:val="32"/>
          <w:szCs w:val="32"/>
          <w:highlight w:val="none"/>
        </w:rPr>
      </w:pPr>
    </w:p>
    <w:p w14:paraId="2C3E6384">
      <w:pPr>
        <w:spacing w:line="440" w:lineRule="exact"/>
        <w:ind w:firstLine="420" w:firstLineChars="200"/>
        <w:jc w:val="left"/>
        <w:rPr>
          <w:rFonts w:hint="eastAsia" w:ascii="宋体" w:hAnsi="宋体" w:cs="宋体"/>
          <w:color w:val="auto"/>
          <w:szCs w:val="21"/>
          <w:highlight w:val="none"/>
        </w:rPr>
      </w:pPr>
    </w:p>
    <w:p w14:paraId="23917B70">
      <w:pPr>
        <w:pStyle w:val="2"/>
        <w:spacing w:before="162" w:beforeLines="50" w:after="162" w:afterLines="50" w:line="440" w:lineRule="exact"/>
        <w:outlineLvl w:val="9"/>
        <w:rPr>
          <w:rFonts w:hint="eastAsia" w:ascii="宋体" w:hAnsi="宋体" w:cs="宋体"/>
          <w:color w:val="auto"/>
          <w:sz w:val="32"/>
          <w:szCs w:val="32"/>
          <w:highlight w:val="none"/>
        </w:rPr>
      </w:pPr>
    </w:p>
    <w:p w14:paraId="33FBF469">
      <w:pPr>
        <w:rPr>
          <w:rFonts w:hint="eastAsia" w:ascii="宋体" w:hAnsi="宋体" w:cs="宋体"/>
          <w:b/>
          <w:color w:val="auto"/>
          <w:sz w:val="32"/>
          <w:szCs w:val="32"/>
          <w:highlight w:val="none"/>
        </w:rPr>
      </w:pPr>
    </w:p>
    <w:p w14:paraId="79B0F561">
      <w:pPr>
        <w:pStyle w:val="26"/>
        <w:ind w:firstLine="643"/>
        <w:rPr>
          <w:rFonts w:hint="eastAsia" w:cs="宋体"/>
          <w:b/>
          <w:color w:val="auto"/>
          <w:sz w:val="32"/>
          <w:szCs w:val="32"/>
          <w:highlight w:val="none"/>
        </w:rPr>
      </w:pPr>
    </w:p>
    <w:p w14:paraId="1ABB0B75">
      <w:pPr>
        <w:pStyle w:val="26"/>
        <w:ind w:firstLine="0" w:firstLineChars="0"/>
        <w:rPr>
          <w:rFonts w:hint="eastAsia"/>
          <w:color w:val="auto"/>
          <w:highlight w:val="none"/>
        </w:rPr>
      </w:pPr>
    </w:p>
    <w:p w14:paraId="35A32DCE">
      <w:pPr>
        <w:rPr>
          <w:rFonts w:hint="eastAsia"/>
          <w:color w:val="auto"/>
          <w:highlight w:val="none"/>
        </w:rPr>
      </w:pPr>
    </w:p>
    <w:p w14:paraId="4FF54BD4">
      <w:pPr>
        <w:pStyle w:val="26"/>
        <w:ind w:firstLine="560"/>
        <w:rPr>
          <w:rFonts w:hint="eastAsia"/>
          <w:color w:val="auto"/>
          <w:highlight w:val="none"/>
        </w:rPr>
      </w:pPr>
    </w:p>
    <w:p w14:paraId="477DF641">
      <w:pPr>
        <w:pStyle w:val="26"/>
        <w:ind w:firstLine="0" w:firstLineChars="0"/>
        <w:rPr>
          <w:rFonts w:hint="eastAsia"/>
          <w:color w:val="auto"/>
          <w:highlight w:val="none"/>
        </w:rPr>
      </w:pPr>
    </w:p>
    <w:p w14:paraId="46E1F9AC">
      <w:pPr>
        <w:rPr>
          <w:rFonts w:hint="eastAsia"/>
          <w:color w:val="auto"/>
          <w:highlight w:val="none"/>
        </w:rPr>
      </w:pPr>
    </w:p>
    <w:p w14:paraId="2E22090F">
      <w:pPr>
        <w:snapToGrid w:val="0"/>
        <w:spacing w:line="440" w:lineRule="exact"/>
        <w:jc w:val="center"/>
        <w:outlineLvl w:val="1"/>
        <w:rPr>
          <w:rFonts w:hint="eastAsia" w:ascii="宋体" w:hAnsi="宋体" w:cs="宋体"/>
          <w:bCs/>
          <w:color w:val="auto"/>
          <w:sz w:val="24"/>
          <w:highlight w:val="none"/>
        </w:rPr>
      </w:pPr>
      <w:bookmarkStart w:id="418" w:name="_Toc21805"/>
      <w:r>
        <w:rPr>
          <w:rFonts w:hint="eastAsia" w:ascii="宋体" w:hAnsi="宋体" w:cs="宋体"/>
          <w:b/>
          <w:color w:val="auto"/>
          <w:sz w:val="32"/>
          <w:szCs w:val="32"/>
          <w:highlight w:val="none"/>
        </w:rPr>
        <w:t>第五章  投标文件标格式</w:t>
      </w:r>
      <w:bookmarkEnd w:id="418"/>
    </w:p>
    <w:p w14:paraId="03F9B444">
      <w:pPr>
        <w:rPr>
          <w:rFonts w:hint="eastAsia" w:eastAsia="黑体"/>
          <w:color w:val="auto"/>
          <w:sz w:val="20"/>
          <w:highlight w:val="none"/>
        </w:rPr>
      </w:pPr>
    </w:p>
    <w:p w14:paraId="197BB2C4">
      <w:pPr>
        <w:jc w:val="center"/>
        <w:rPr>
          <w:rFonts w:ascii="宋体"/>
          <w:b/>
          <w:color w:val="auto"/>
          <w:sz w:val="44"/>
          <w:szCs w:val="44"/>
          <w:highlight w:val="none"/>
        </w:rPr>
      </w:pPr>
      <w:bookmarkStart w:id="419" w:name="_Toc469495744"/>
      <w:bookmarkStart w:id="420" w:name="_Toc350698753"/>
      <w:r>
        <w:rPr>
          <w:rFonts w:hint="eastAsia" w:ascii="宋体"/>
          <w:b/>
          <w:color w:val="auto"/>
          <w:sz w:val="44"/>
          <w:szCs w:val="44"/>
          <w:highlight w:val="none"/>
        </w:rPr>
        <w:t xml:space="preserve">                               </w:t>
      </w:r>
      <w:r>
        <w:rPr>
          <w:rFonts w:hint="eastAsia" w:ascii="宋体"/>
          <w:b/>
          <w:color w:val="auto"/>
          <w:sz w:val="96"/>
          <w:szCs w:val="96"/>
          <w:highlight w:val="none"/>
        </w:rPr>
        <w:t xml:space="preserve"> </w:t>
      </w:r>
      <w:r>
        <w:rPr>
          <w:rFonts w:hint="eastAsia"/>
          <w:color w:val="auto"/>
          <w:sz w:val="36"/>
          <w:szCs w:val="44"/>
          <w:highlight w:val="none"/>
        </w:rPr>
        <w:t>正本/副本</w:t>
      </w:r>
    </w:p>
    <w:p w14:paraId="7D4F725F">
      <w:pPr>
        <w:pStyle w:val="26"/>
        <w:ind w:firstLine="560"/>
        <w:rPr>
          <w:rFonts w:hint="eastAsia"/>
          <w:color w:val="auto"/>
          <w:highlight w:val="none"/>
        </w:rPr>
      </w:pPr>
    </w:p>
    <w:p w14:paraId="198AB402">
      <w:pPr>
        <w:jc w:val="center"/>
        <w:outlineLvl w:val="2"/>
        <w:rPr>
          <w:rFonts w:hint="eastAsia" w:ascii="宋体"/>
          <w:b/>
          <w:color w:val="auto"/>
          <w:sz w:val="44"/>
          <w:szCs w:val="44"/>
          <w:highlight w:val="none"/>
        </w:rPr>
      </w:pPr>
      <w:bookmarkStart w:id="421" w:name="_Toc31229"/>
      <w:bookmarkStart w:id="422" w:name="_Toc1612"/>
      <w:r>
        <w:rPr>
          <w:rFonts w:hint="eastAsia" w:ascii="宋体"/>
          <w:b/>
          <w:color w:val="auto"/>
          <w:sz w:val="44"/>
          <w:szCs w:val="44"/>
          <w:highlight w:val="none"/>
        </w:rPr>
        <w:t>资信证明文件</w:t>
      </w:r>
      <w:bookmarkEnd w:id="419"/>
      <w:bookmarkEnd w:id="420"/>
      <w:bookmarkEnd w:id="421"/>
      <w:bookmarkEnd w:id="422"/>
    </w:p>
    <w:p w14:paraId="429299BD">
      <w:pPr>
        <w:jc w:val="center"/>
        <w:rPr>
          <w:rFonts w:hint="eastAsia" w:ascii="宋体"/>
          <w:color w:val="auto"/>
          <w:sz w:val="32"/>
          <w:szCs w:val="32"/>
          <w:highlight w:val="none"/>
        </w:rPr>
      </w:pPr>
      <w:r>
        <w:rPr>
          <w:rFonts w:hint="eastAsia" w:ascii="宋体"/>
          <w:color w:val="auto"/>
          <w:sz w:val="32"/>
          <w:szCs w:val="32"/>
          <w:highlight w:val="none"/>
        </w:rPr>
        <w:t>（投标文件一）</w:t>
      </w:r>
    </w:p>
    <w:p w14:paraId="4825157F">
      <w:pPr>
        <w:jc w:val="center"/>
        <w:rPr>
          <w:rFonts w:hint="eastAsia" w:eastAsia="黑体"/>
          <w:color w:val="auto"/>
          <w:sz w:val="44"/>
          <w:szCs w:val="44"/>
          <w:highlight w:val="none"/>
        </w:rPr>
      </w:pPr>
    </w:p>
    <w:p w14:paraId="28AF8932">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项目名称</w:t>
      </w:r>
    </w:p>
    <w:p w14:paraId="52BC6B2E">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32F5FB6">
      <w:pPr>
        <w:rPr>
          <w:rFonts w:hint="eastAsia" w:ascii="宋体"/>
          <w:color w:val="auto"/>
          <w:sz w:val="28"/>
          <w:szCs w:val="28"/>
          <w:highlight w:val="none"/>
        </w:rPr>
      </w:pPr>
    </w:p>
    <w:p w14:paraId="53FA8A90">
      <w:pPr>
        <w:rPr>
          <w:rFonts w:hint="eastAsia" w:ascii="宋体"/>
          <w:color w:val="auto"/>
          <w:sz w:val="28"/>
          <w:szCs w:val="28"/>
          <w:highlight w:val="none"/>
        </w:rPr>
      </w:pPr>
    </w:p>
    <w:p w14:paraId="3B3E97CE">
      <w:pPr>
        <w:rPr>
          <w:rFonts w:hint="eastAsia" w:ascii="宋体"/>
          <w:color w:val="auto"/>
          <w:sz w:val="28"/>
          <w:szCs w:val="28"/>
          <w:highlight w:val="none"/>
        </w:rPr>
      </w:pPr>
    </w:p>
    <w:p w14:paraId="2718409A">
      <w:pPr>
        <w:rPr>
          <w:rFonts w:hint="eastAsia" w:ascii="宋体"/>
          <w:color w:val="auto"/>
          <w:sz w:val="28"/>
          <w:szCs w:val="28"/>
          <w:highlight w:val="none"/>
        </w:rPr>
      </w:pPr>
    </w:p>
    <w:p w14:paraId="4325659C">
      <w:pPr>
        <w:pStyle w:val="26"/>
        <w:ind w:firstLine="0" w:firstLineChars="0"/>
        <w:rPr>
          <w:rFonts w:hint="eastAsia"/>
          <w:color w:val="auto"/>
          <w:highlight w:val="none"/>
        </w:rPr>
      </w:pPr>
    </w:p>
    <w:p w14:paraId="0C3B5E86">
      <w:pPr>
        <w:rPr>
          <w:rFonts w:hint="eastAsia" w:ascii="宋体"/>
          <w:color w:val="auto"/>
          <w:sz w:val="28"/>
          <w:szCs w:val="28"/>
          <w:highlight w:val="none"/>
        </w:rPr>
      </w:pPr>
    </w:p>
    <w:p w14:paraId="5645CC42">
      <w:pPr>
        <w:rPr>
          <w:rFonts w:hint="eastAsia" w:ascii="宋体"/>
          <w:color w:val="auto"/>
          <w:sz w:val="28"/>
          <w:szCs w:val="28"/>
          <w:highlight w:val="none"/>
        </w:rPr>
      </w:pPr>
    </w:p>
    <w:p w14:paraId="32ED6FF4">
      <w:pPr>
        <w:pStyle w:val="21"/>
        <w:rPr>
          <w:rFonts w:hint="eastAsia"/>
          <w:color w:val="auto"/>
          <w:highlight w:val="none"/>
        </w:rPr>
      </w:pPr>
    </w:p>
    <w:p w14:paraId="03B9AB41">
      <w:pPr>
        <w:rPr>
          <w:rFonts w:hint="eastAsia" w:ascii="宋体"/>
          <w:color w:val="auto"/>
          <w:sz w:val="28"/>
          <w:szCs w:val="28"/>
          <w:highlight w:val="none"/>
        </w:rPr>
      </w:pPr>
    </w:p>
    <w:p w14:paraId="4ABA0FE1">
      <w:pPr>
        <w:jc w:val="center"/>
        <w:rPr>
          <w:rFonts w:hint="eastAsia" w:ascii="宋体"/>
          <w:color w:val="auto"/>
          <w:sz w:val="28"/>
          <w:szCs w:val="28"/>
          <w:highlight w:val="none"/>
          <w:u w:val="single"/>
        </w:rPr>
      </w:pPr>
      <w:r>
        <w:rPr>
          <w:rFonts w:hint="eastAsia" w:ascii="宋体"/>
          <w:color w:val="auto"/>
          <w:sz w:val="28"/>
          <w:szCs w:val="28"/>
          <w:highlight w:val="none"/>
        </w:rPr>
        <w:t>投标供应商：</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6F7A5B56">
      <w:pPr>
        <w:jc w:val="center"/>
        <w:rPr>
          <w:rFonts w:hint="eastAsia" w:ascii="宋体"/>
          <w:color w:val="auto"/>
          <w:sz w:val="28"/>
          <w:szCs w:val="28"/>
          <w:highlight w:val="none"/>
          <w:u w:val="singl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5C43D60F">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F020427">
      <w:pPr>
        <w:pStyle w:val="26"/>
        <w:ind w:firstLine="560"/>
        <w:rPr>
          <w:rFonts w:hint="eastAsia"/>
          <w:color w:val="auto"/>
          <w:szCs w:val="28"/>
          <w:highlight w:val="none"/>
        </w:rPr>
      </w:pPr>
    </w:p>
    <w:p w14:paraId="3EA66733">
      <w:pPr>
        <w:rPr>
          <w:rFonts w:hint="eastAsia" w:ascii="宋体"/>
          <w:color w:val="auto"/>
          <w:sz w:val="28"/>
          <w:szCs w:val="28"/>
          <w:highlight w:val="none"/>
        </w:rPr>
      </w:pPr>
    </w:p>
    <w:p w14:paraId="218318F2">
      <w:pPr>
        <w:spacing w:before="162" w:beforeLines="50" w:after="162" w:afterLines="50"/>
        <w:jc w:val="center"/>
        <w:rPr>
          <w:rFonts w:hint="eastAsia" w:ascii="宋体"/>
          <w:b/>
          <w:bCs/>
          <w:color w:val="auto"/>
          <w:sz w:val="32"/>
          <w:szCs w:val="32"/>
          <w:highlight w:val="none"/>
        </w:rPr>
      </w:pPr>
      <w:r>
        <w:rPr>
          <w:rFonts w:hint="eastAsia" w:ascii="宋体"/>
          <w:b/>
          <w:bCs/>
          <w:color w:val="auto"/>
          <w:sz w:val="32"/>
          <w:szCs w:val="32"/>
          <w:highlight w:val="none"/>
        </w:rPr>
        <w:t>目  录</w:t>
      </w:r>
    </w:p>
    <w:p w14:paraId="60C2D3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（1）法定代表人身份证明及其有效身份证（或法定代表人授权委托书及其有效身份证）（格式见附件）；</w:t>
      </w:r>
    </w:p>
    <w:p w14:paraId="0E33B3AB">
      <w:pPr>
        <w:spacing w:line="440" w:lineRule="exact"/>
        <w:ind w:firstLine="420" w:firstLineChars="200"/>
        <w:outlineLvl w:val="2"/>
        <w:rPr>
          <w:rFonts w:hint="eastAsia" w:ascii="宋体" w:hAnsi="宋体" w:cs="宋体"/>
          <w:color w:val="auto"/>
          <w:szCs w:val="21"/>
          <w:highlight w:val="none"/>
        </w:rPr>
      </w:pPr>
      <w:bookmarkStart w:id="423" w:name="_Toc6137"/>
      <w:r>
        <w:rPr>
          <w:rFonts w:hint="eastAsia" w:ascii="宋体" w:hAnsi="宋体" w:cs="宋体"/>
          <w:color w:val="auto"/>
          <w:szCs w:val="21"/>
          <w:highlight w:val="none"/>
        </w:rPr>
        <w:t>（2）投标供应商有效的营业执照（或三证合一的有效证件）；</w:t>
      </w:r>
      <w:bookmarkEnd w:id="423"/>
    </w:p>
    <w:p w14:paraId="5DBD43E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（3）参加采购活动近三年内，在经营活动中没有重大违法记录的声明（格式自拟）；</w:t>
      </w:r>
    </w:p>
    <w:p w14:paraId="30610229">
      <w:pPr>
        <w:spacing w:line="440" w:lineRule="exact"/>
        <w:ind w:firstLine="420" w:firstLineChars="200"/>
        <w:outlineLvl w:val="2"/>
        <w:rPr>
          <w:rFonts w:hint="eastAsia" w:ascii="宋体" w:hAnsi="宋体" w:cs="宋体"/>
          <w:color w:val="auto"/>
          <w:szCs w:val="21"/>
          <w:highlight w:val="none"/>
        </w:rPr>
      </w:pPr>
      <w:bookmarkStart w:id="424" w:name="_Toc30000"/>
      <w:r>
        <w:rPr>
          <w:rFonts w:hint="eastAsia" w:ascii="宋体" w:hAnsi="宋体" w:cs="宋体"/>
          <w:color w:val="auto"/>
          <w:szCs w:val="21"/>
          <w:highlight w:val="none"/>
        </w:rPr>
        <w:t>（4）诚信投标承诺书（格式见附件）；</w:t>
      </w:r>
      <w:bookmarkEnd w:id="424"/>
    </w:p>
    <w:p w14:paraId="0027E592">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（5）资信标中要求提供的其他相关资料和资格评分细则中需要提供的其他相关资料；</w:t>
      </w:r>
    </w:p>
    <w:p w14:paraId="5CD0DF91">
      <w:pPr>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资信</w:t>
      </w:r>
      <w:r>
        <w:rPr>
          <w:rFonts w:hint="eastAsia" w:ascii="宋体" w:hAnsi="宋体" w:cs="宋体"/>
          <w:b/>
          <w:bCs/>
          <w:color w:val="auto"/>
          <w:szCs w:val="21"/>
          <w:highlight w:val="none"/>
        </w:rPr>
        <w:t>文件的完整与否，直接影响供应商的评审</w:t>
      </w:r>
      <w:r>
        <w:rPr>
          <w:rFonts w:hint="eastAsia" w:ascii="宋体" w:hAnsi="宋体" w:cs="宋体"/>
          <w:b/>
          <w:bCs/>
          <w:color w:val="auto"/>
          <w:kern w:val="0"/>
          <w:szCs w:val="21"/>
          <w:highlight w:val="none"/>
          <w:u w:val="none" w:color="000000"/>
        </w:rPr>
        <w:t>。</w:t>
      </w:r>
    </w:p>
    <w:p w14:paraId="580A3F46">
      <w:pPr>
        <w:spacing w:line="440" w:lineRule="exact"/>
        <w:ind w:firstLine="422" w:firstLineChars="200"/>
        <w:rPr>
          <w:rFonts w:hint="eastAsia" w:ascii="宋体" w:hAnsi="宋体" w:cs="宋体"/>
          <w:b/>
          <w:bCs/>
          <w:color w:val="auto"/>
          <w:szCs w:val="21"/>
          <w:highlight w:val="none"/>
        </w:rPr>
      </w:pPr>
    </w:p>
    <w:p w14:paraId="0B34B6E1">
      <w:pPr>
        <w:pStyle w:val="26"/>
        <w:ind w:firstLine="560"/>
        <w:rPr>
          <w:rFonts w:hint="eastAsia"/>
          <w:color w:val="auto"/>
          <w:highlight w:val="none"/>
        </w:rPr>
      </w:pPr>
    </w:p>
    <w:p w14:paraId="668105A1">
      <w:pPr>
        <w:rPr>
          <w:rFonts w:hint="eastAsia"/>
          <w:color w:val="auto"/>
          <w:highlight w:val="none"/>
        </w:rPr>
      </w:pPr>
    </w:p>
    <w:p w14:paraId="37D6ECBB">
      <w:pPr>
        <w:pStyle w:val="26"/>
        <w:ind w:firstLine="560"/>
        <w:rPr>
          <w:rFonts w:hint="eastAsia"/>
          <w:color w:val="auto"/>
          <w:highlight w:val="none"/>
        </w:rPr>
      </w:pPr>
    </w:p>
    <w:p w14:paraId="58FDDEA4">
      <w:pPr>
        <w:rPr>
          <w:rFonts w:hint="eastAsia"/>
          <w:color w:val="auto"/>
          <w:highlight w:val="none"/>
        </w:rPr>
      </w:pPr>
    </w:p>
    <w:p w14:paraId="214ABF27">
      <w:pPr>
        <w:pStyle w:val="26"/>
        <w:ind w:firstLine="560"/>
        <w:rPr>
          <w:rFonts w:hint="eastAsia"/>
          <w:color w:val="auto"/>
          <w:highlight w:val="none"/>
        </w:rPr>
      </w:pPr>
    </w:p>
    <w:p w14:paraId="597636DF">
      <w:pPr>
        <w:rPr>
          <w:rFonts w:hint="eastAsia"/>
          <w:color w:val="auto"/>
          <w:highlight w:val="none"/>
        </w:rPr>
      </w:pPr>
    </w:p>
    <w:p w14:paraId="26ED4EA2">
      <w:pPr>
        <w:pStyle w:val="26"/>
        <w:ind w:firstLine="560"/>
        <w:rPr>
          <w:rFonts w:hint="eastAsia"/>
          <w:color w:val="auto"/>
          <w:highlight w:val="none"/>
        </w:rPr>
      </w:pPr>
    </w:p>
    <w:p w14:paraId="28C27220">
      <w:pPr>
        <w:rPr>
          <w:rFonts w:hint="eastAsia"/>
          <w:color w:val="auto"/>
          <w:highlight w:val="none"/>
        </w:rPr>
      </w:pPr>
    </w:p>
    <w:p w14:paraId="43FEBBFF">
      <w:pPr>
        <w:pStyle w:val="26"/>
        <w:ind w:firstLine="560"/>
        <w:rPr>
          <w:rFonts w:hint="eastAsia"/>
          <w:color w:val="auto"/>
          <w:highlight w:val="none"/>
        </w:rPr>
      </w:pPr>
    </w:p>
    <w:p w14:paraId="7CE6F938">
      <w:pPr>
        <w:rPr>
          <w:rFonts w:hint="eastAsia"/>
          <w:color w:val="auto"/>
          <w:highlight w:val="none"/>
        </w:rPr>
      </w:pPr>
    </w:p>
    <w:p w14:paraId="68F48AB5">
      <w:pPr>
        <w:pStyle w:val="26"/>
        <w:ind w:firstLine="560"/>
        <w:rPr>
          <w:rFonts w:hint="eastAsia"/>
          <w:color w:val="auto"/>
          <w:highlight w:val="none"/>
        </w:rPr>
      </w:pPr>
    </w:p>
    <w:p w14:paraId="289A24F8">
      <w:pPr>
        <w:rPr>
          <w:rFonts w:hint="eastAsia"/>
          <w:color w:val="auto"/>
          <w:highlight w:val="none"/>
        </w:rPr>
      </w:pPr>
    </w:p>
    <w:p w14:paraId="3AEE5EC7">
      <w:pPr>
        <w:pStyle w:val="26"/>
        <w:ind w:firstLine="560"/>
        <w:rPr>
          <w:rFonts w:hint="eastAsia"/>
          <w:color w:val="auto"/>
          <w:highlight w:val="none"/>
        </w:rPr>
      </w:pPr>
    </w:p>
    <w:p w14:paraId="0091E7AE">
      <w:pPr>
        <w:rPr>
          <w:rFonts w:hint="eastAsia"/>
          <w:color w:val="auto"/>
          <w:highlight w:val="none"/>
        </w:rPr>
      </w:pPr>
    </w:p>
    <w:p w14:paraId="706C9CC3">
      <w:pPr>
        <w:pStyle w:val="26"/>
        <w:ind w:firstLine="560"/>
        <w:rPr>
          <w:rFonts w:hint="eastAsia"/>
          <w:color w:val="auto"/>
          <w:highlight w:val="none"/>
        </w:rPr>
      </w:pPr>
    </w:p>
    <w:p w14:paraId="26F945DD">
      <w:pPr>
        <w:rPr>
          <w:rFonts w:hint="eastAsia"/>
          <w:color w:val="auto"/>
          <w:highlight w:val="none"/>
        </w:rPr>
      </w:pPr>
    </w:p>
    <w:p w14:paraId="35CF3B25">
      <w:pPr>
        <w:pStyle w:val="26"/>
        <w:ind w:firstLine="560"/>
        <w:rPr>
          <w:rFonts w:hint="eastAsia"/>
          <w:color w:val="auto"/>
          <w:highlight w:val="none"/>
        </w:rPr>
      </w:pPr>
    </w:p>
    <w:p w14:paraId="681281E9">
      <w:pPr>
        <w:rPr>
          <w:rFonts w:hint="eastAsia"/>
          <w:color w:val="auto"/>
          <w:highlight w:val="none"/>
        </w:rPr>
      </w:pPr>
    </w:p>
    <w:p w14:paraId="1C7322D9">
      <w:pPr>
        <w:pStyle w:val="26"/>
        <w:ind w:firstLine="0" w:firstLineChars="0"/>
        <w:rPr>
          <w:rFonts w:hint="eastAsia"/>
          <w:color w:val="auto"/>
          <w:highlight w:val="none"/>
        </w:rPr>
      </w:pPr>
    </w:p>
    <w:p w14:paraId="286B0E8D">
      <w:pPr>
        <w:pStyle w:val="4"/>
        <w:jc w:val="center"/>
        <w:rPr>
          <w:rFonts w:hint="eastAsia" w:ascii="宋体" w:hAnsi="宋体" w:cs="宋体"/>
          <w:color w:val="auto"/>
          <w:sz w:val="28"/>
          <w:szCs w:val="28"/>
          <w:highlight w:val="none"/>
        </w:rPr>
      </w:pPr>
      <w:bookmarkStart w:id="425" w:name="_Toc17426"/>
      <w:bookmarkStart w:id="426" w:name="_Toc25275"/>
      <w:r>
        <w:rPr>
          <w:rFonts w:hint="eastAsia" w:ascii="宋体" w:hAnsi="宋体" w:cs="宋体"/>
          <w:color w:val="auto"/>
          <w:sz w:val="28"/>
          <w:szCs w:val="28"/>
          <w:highlight w:val="none"/>
        </w:rPr>
        <w:t>（1）法定代表人身份证明</w:t>
      </w:r>
      <w:bookmarkEnd w:id="425"/>
      <w:bookmarkEnd w:id="426"/>
    </w:p>
    <w:p w14:paraId="4561056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9CEB4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60B0E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01D1C1F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6C0C2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1D0BA3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6B898D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（投标供应商名称）的法定代表人。</w:t>
      </w:r>
    </w:p>
    <w:p w14:paraId="2C52FC0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50E902D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附：法定代表人有效身份证</w:t>
      </w:r>
    </w:p>
    <w:p w14:paraId="66FE624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投标供应商：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DF5851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758EB12A">
      <w:pPr>
        <w:spacing w:line="540" w:lineRule="exact"/>
        <w:rPr>
          <w:rFonts w:hint="eastAsia" w:ascii="宋体" w:hAnsi="宋体" w:cs="宋体"/>
          <w:color w:val="auto"/>
          <w:highlight w:val="none"/>
        </w:rPr>
      </w:pPr>
    </w:p>
    <w:p w14:paraId="12EC84C1">
      <w:pPr>
        <w:pStyle w:val="4"/>
        <w:jc w:val="center"/>
        <w:outlineLvl w:val="3"/>
        <w:rPr>
          <w:rFonts w:hint="eastAsia" w:ascii="宋体" w:hAnsi="宋体" w:cs="宋体"/>
          <w:color w:val="auto"/>
          <w:sz w:val="28"/>
          <w:szCs w:val="28"/>
          <w:highlight w:val="none"/>
        </w:rPr>
      </w:pPr>
      <w:r>
        <w:rPr>
          <w:rFonts w:hint="eastAsia" w:ascii="宋体" w:hAnsi="宋体" w:cs="宋体"/>
          <w:color w:val="auto"/>
          <w:sz w:val="28"/>
          <w:szCs w:val="28"/>
          <w:highlight w:val="none"/>
        </w:rPr>
        <w:t>或（1）授权委托书</w:t>
      </w:r>
    </w:p>
    <w:p w14:paraId="3D97AE6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本授权委托书声明：我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（投标供应商名称）</w:t>
      </w:r>
      <w:r>
        <w:rPr>
          <w:rFonts w:hint="eastAsia" w:ascii="宋体" w:hAnsi="宋体" w:cs="宋体"/>
          <w:color w:val="auto"/>
          <w:szCs w:val="21"/>
          <w:highlight w:val="none"/>
        </w:rPr>
        <w:t>的法定代表人，现授权委托</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为我公司法定代表人授权委托代理人，参加</w:t>
      </w:r>
      <w:r>
        <w:rPr>
          <w:rFonts w:hint="eastAsia" w:ascii="宋体" w:hAnsi="宋体" w:cs="宋体"/>
          <w:color w:val="auto"/>
          <w:szCs w:val="21"/>
          <w:highlight w:val="none"/>
          <w:u w:val="single"/>
        </w:rPr>
        <w:t xml:space="preserve">      采购人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的投标活动。代理人在投标、开标、评标、合同谈判过程中所签署的一切文件和处理与之有关的一切事务，我均予以承认。</w:t>
      </w:r>
    </w:p>
    <w:p w14:paraId="3C0284F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代理人无转委托权，特此委托。</w:t>
      </w:r>
    </w:p>
    <w:p w14:paraId="72B58E3E">
      <w:pPr>
        <w:spacing w:line="500" w:lineRule="exact"/>
        <w:ind w:right="24"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附：授权代理人有效身份证及法定代表人有效身份证          </w:t>
      </w:r>
    </w:p>
    <w:p w14:paraId="645F42B0">
      <w:pPr>
        <w:spacing w:line="500" w:lineRule="exact"/>
        <w:ind w:right="24"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9CD24E4">
      <w:pPr>
        <w:spacing w:line="500" w:lineRule="exact"/>
        <w:ind w:right="24"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 xml:space="preserve">   授权代理人：</w:t>
      </w:r>
      <w:r>
        <w:rPr>
          <w:rFonts w:hint="eastAsia" w:ascii="宋体" w:hAnsi="宋体" w:cs="宋体"/>
          <w:color w:val="auto"/>
          <w:szCs w:val="21"/>
          <w:highlight w:val="none"/>
          <w:u w:val="single"/>
        </w:rPr>
        <w:t xml:space="preserve">        （签字或盖章）      </w:t>
      </w:r>
    </w:p>
    <w:p w14:paraId="0305D4F4">
      <w:pPr>
        <w:spacing w:line="50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（盖章）         </w:t>
      </w:r>
    </w:p>
    <w:p w14:paraId="3BFAE2A7">
      <w:pPr>
        <w:spacing w:line="500" w:lineRule="exact"/>
        <w:ind w:right="204"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（签字或盖章）      </w:t>
      </w:r>
    </w:p>
    <w:p w14:paraId="7D4D0792">
      <w:pPr>
        <w:wordWrap w:val="0"/>
        <w:spacing w:line="50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年    月    日 </w:t>
      </w:r>
    </w:p>
    <w:p w14:paraId="0CBBC0B0">
      <w:pPr>
        <w:rPr>
          <w:rFonts w:hint="eastAsia" w:ascii="宋体" w:hAnsi="宋体" w:cs="宋体"/>
          <w:b/>
          <w:color w:val="auto"/>
          <w:sz w:val="24"/>
          <w:highlight w:val="none"/>
        </w:rPr>
      </w:pPr>
    </w:p>
    <w:p w14:paraId="7CAC65DF">
      <w:pPr>
        <w:pStyle w:val="26"/>
        <w:ind w:firstLine="560"/>
        <w:rPr>
          <w:rFonts w:hint="eastAsia"/>
          <w:color w:val="auto"/>
          <w:highlight w:val="none"/>
        </w:rPr>
      </w:pPr>
    </w:p>
    <w:p w14:paraId="5193907F">
      <w:pPr>
        <w:rPr>
          <w:rFonts w:hint="eastAsia" w:ascii="宋体" w:hAnsi="宋体" w:cs="宋体"/>
          <w:b/>
          <w:bCs/>
          <w:color w:val="auto"/>
          <w:sz w:val="28"/>
          <w:szCs w:val="28"/>
          <w:highlight w:val="none"/>
        </w:rPr>
      </w:pPr>
    </w:p>
    <w:p w14:paraId="0131484B">
      <w:pPr>
        <w:jc w:val="center"/>
        <w:outlineLvl w:val="2"/>
        <w:rPr>
          <w:rFonts w:hint="eastAsia" w:ascii="宋体" w:hAnsi="宋体" w:cs="宋体"/>
          <w:b/>
          <w:bCs/>
          <w:color w:val="auto"/>
          <w:sz w:val="28"/>
          <w:szCs w:val="28"/>
          <w:highlight w:val="none"/>
        </w:rPr>
      </w:pPr>
      <w:bookmarkStart w:id="427" w:name="_Toc5345"/>
      <w:bookmarkStart w:id="428" w:name="_Toc19067"/>
      <w:r>
        <w:rPr>
          <w:rFonts w:hint="eastAsia" w:ascii="宋体" w:hAnsi="宋体" w:cs="宋体"/>
          <w:b/>
          <w:bCs/>
          <w:color w:val="auto"/>
          <w:sz w:val="28"/>
          <w:szCs w:val="28"/>
          <w:highlight w:val="none"/>
        </w:rPr>
        <w:t>（2）诚信投标承诺书</w:t>
      </w:r>
      <w:bookmarkEnd w:id="427"/>
      <w:bookmarkEnd w:id="428"/>
    </w:p>
    <w:p w14:paraId="5E004BD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14:paraId="7200D4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项目的投标，所提供的一切材料都是真实、有效、合法的；</w:t>
      </w:r>
    </w:p>
    <w:p w14:paraId="44807C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单位郑重声明，我公司具有良好的商业信誉和健全的财务会计制度，具有履行合同所必需的设备和专业技术能力，具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7B487C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三、不出借、转让资质证书，不让他人挂靠投标，不以他人名义投标或者以其他方式弄虚作假，骗取中标；</w:t>
      </w:r>
    </w:p>
    <w:p w14:paraId="637D650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四、不与其他供应商相互串通投标报价，不排挤其他供应商的公平竞争、损害采购人的合法权益；</w:t>
      </w:r>
    </w:p>
    <w:p w14:paraId="173D158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五、不与采购人、招标代理机构或其他供应商串通投标，损害国家利益、社会公共利益或者他人的合法权益；</w:t>
      </w:r>
    </w:p>
    <w:p w14:paraId="43C1D4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我公司没有下列情形：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监管部门禁止在一定期限内参加采购活动且在禁止期限内的；8、被滁州市县两级公管部门记入不良行为记录或者信用信息记录，且在披露期内的；  </w:t>
      </w:r>
    </w:p>
    <w:p w14:paraId="14AD17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14:paraId="4B831E8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八、保证中标后不转包，若有分包征得采购人同意；</w:t>
      </w:r>
    </w:p>
    <w:p w14:paraId="0ED02C5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九、保证中标之后，按照响应文件要求提供相关后续服务；</w:t>
      </w:r>
    </w:p>
    <w:p w14:paraId="163C1E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十、保证企业及所属相关人员在本次投标中无行贿等犯罪行为；</w:t>
      </w:r>
    </w:p>
    <w:p w14:paraId="6D8359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A12F00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以上内容我已仔细阅读，本公司若有违反承诺内容的行为，自愿接受取消投标或者中标资格、记入不良行为记录、投标保证金不予退还等有关处理，愿意承担法律责任，给采购人造成损失的，依法承担赔偿责任。</w:t>
      </w:r>
    </w:p>
    <w:p w14:paraId="7B1C3D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w:t>
      </w:r>
    </w:p>
    <w:p w14:paraId="482D91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14:paraId="3EB5628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投标供应商（盖章）：                 法定代表人（签字或盖章）：</w:t>
      </w:r>
    </w:p>
    <w:p w14:paraId="1C1F92BC">
      <w:pPr>
        <w:spacing w:line="44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D72991">
      <w:pPr>
        <w:jc w:val="center"/>
        <w:rPr>
          <w:rFonts w:hint="eastAsia" w:ascii="宋体" w:hAnsi="宋体" w:cs="宋体"/>
          <w:b/>
          <w:color w:val="auto"/>
          <w:sz w:val="24"/>
          <w:highlight w:val="none"/>
        </w:rPr>
      </w:pPr>
    </w:p>
    <w:p w14:paraId="368B7EA6">
      <w:pPr>
        <w:spacing w:line="560" w:lineRule="exact"/>
        <w:ind w:right="-313" w:rightChars="-149" w:firstLine="640" w:firstLineChars="200"/>
        <w:rPr>
          <w:rFonts w:hint="eastAsia"/>
          <w:color w:val="auto"/>
          <w:sz w:val="32"/>
          <w:szCs w:val="21"/>
          <w:highlight w:val="none"/>
        </w:rPr>
      </w:pPr>
      <w:bookmarkStart w:id="429" w:name="_Toc21013"/>
      <w:r>
        <w:rPr>
          <w:rFonts w:hint="eastAsia"/>
          <w:color w:val="auto"/>
          <w:sz w:val="32"/>
          <w:szCs w:val="21"/>
          <w:highlight w:val="none"/>
        </w:rPr>
        <w:t xml:space="preserve">                    </w:t>
      </w:r>
    </w:p>
    <w:p w14:paraId="0B02FF32">
      <w:pPr>
        <w:pStyle w:val="2"/>
        <w:pageBreakBefore/>
        <w:spacing w:line="579" w:lineRule="auto"/>
        <w:jc w:val="center"/>
        <w:rPr>
          <w:rFonts w:hint="eastAsia" w:ascii="宋体"/>
          <w:b w:val="0"/>
          <w:color w:val="auto"/>
          <w:highlight w:val="none"/>
        </w:rPr>
      </w:pPr>
      <w:r>
        <w:rPr>
          <w:rFonts w:hint="eastAsia"/>
          <w:color w:val="auto"/>
          <w:sz w:val="32"/>
          <w:szCs w:val="21"/>
          <w:highlight w:val="none"/>
        </w:rPr>
        <w:t xml:space="preserve">                                    </w:t>
      </w:r>
      <w:bookmarkStart w:id="430" w:name="_Toc28063"/>
      <w:bookmarkStart w:id="431" w:name="_Toc579"/>
      <w:r>
        <w:rPr>
          <w:rFonts w:hint="eastAsia"/>
          <w:color w:val="auto"/>
          <w:sz w:val="32"/>
          <w:szCs w:val="21"/>
          <w:highlight w:val="none"/>
        </w:rPr>
        <w:t>正本/副本</w:t>
      </w:r>
      <w:bookmarkEnd w:id="430"/>
      <w:bookmarkEnd w:id="431"/>
    </w:p>
    <w:p w14:paraId="247A90D3">
      <w:pPr>
        <w:pStyle w:val="2"/>
        <w:jc w:val="center"/>
        <w:outlineLvl w:val="1"/>
        <w:rPr>
          <w:rFonts w:hint="eastAsia" w:ascii="宋体"/>
          <w:b w:val="0"/>
          <w:color w:val="auto"/>
          <w:highlight w:val="none"/>
        </w:rPr>
      </w:pPr>
      <w:bookmarkStart w:id="432" w:name="_Toc28957"/>
      <w:bookmarkStart w:id="433" w:name="_Toc10768"/>
      <w:bookmarkStart w:id="434" w:name="_Toc19777"/>
      <w:r>
        <w:rPr>
          <w:rFonts w:hint="eastAsia" w:ascii="宋体"/>
          <w:b w:val="0"/>
          <w:color w:val="auto"/>
          <w:highlight w:val="none"/>
        </w:rPr>
        <w:t>技术标文件</w:t>
      </w:r>
      <w:bookmarkEnd w:id="429"/>
      <w:bookmarkEnd w:id="432"/>
      <w:bookmarkEnd w:id="433"/>
      <w:bookmarkEnd w:id="434"/>
    </w:p>
    <w:p w14:paraId="0204B359">
      <w:pPr>
        <w:jc w:val="center"/>
        <w:rPr>
          <w:rFonts w:hint="eastAsia" w:ascii="宋体"/>
          <w:color w:val="auto"/>
          <w:sz w:val="32"/>
          <w:szCs w:val="32"/>
          <w:highlight w:val="none"/>
        </w:rPr>
      </w:pPr>
      <w:r>
        <w:rPr>
          <w:rFonts w:hint="eastAsia" w:ascii="宋体"/>
          <w:color w:val="auto"/>
          <w:sz w:val="32"/>
          <w:szCs w:val="32"/>
          <w:highlight w:val="none"/>
        </w:rPr>
        <w:t>（投标文件二）</w:t>
      </w:r>
    </w:p>
    <w:p w14:paraId="67BC3376">
      <w:pPr>
        <w:jc w:val="center"/>
        <w:rPr>
          <w:rFonts w:hint="eastAsia" w:eastAsia="黑体"/>
          <w:color w:val="auto"/>
          <w:sz w:val="44"/>
          <w:szCs w:val="44"/>
          <w:highlight w:val="none"/>
        </w:rPr>
      </w:pPr>
    </w:p>
    <w:p w14:paraId="2ECA8F2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 xml:space="preserve">项目名称 </w:t>
      </w:r>
    </w:p>
    <w:p w14:paraId="596260E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E40A330">
      <w:pPr>
        <w:rPr>
          <w:rFonts w:hint="eastAsia" w:ascii="宋体"/>
          <w:color w:val="auto"/>
          <w:sz w:val="28"/>
          <w:szCs w:val="28"/>
          <w:highlight w:val="none"/>
        </w:rPr>
      </w:pPr>
    </w:p>
    <w:p w14:paraId="237AB5AD">
      <w:pPr>
        <w:rPr>
          <w:rFonts w:hint="eastAsia" w:ascii="宋体"/>
          <w:color w:val="auto"/>
          <w:sz w:val="28"/>
          <w:szCs w:val="28"/>
          <w:highlight w:val="none"/>
        </w:rPr>
      </w:pPr>
    </w:p>
    <w:p w14:paraId="0B9D48FC">
      <w:pPr>
        <w:rPr>
          <w:rFonts w:hint="eastAsia" w:ascii="宋体"/>
          <w:color w:val="auto"/>
          <w:sz w:val="28"/>
          <w:szCs w:val="28"/>
          <w:highlight w:val="none"/>
        </w:rPr>
      </w:pPr>
    </w:p>
    <w:p w14:paraId="13C1C11C">
      <w:pPr>
        <w:rPr>
          <w:rFonts w:hint="eastAsia" w:ascii="宋体"/>
          <w:color w:val="auto"/>
          <w:sz w:val="28"/>
          <w:szCs w:val="28"/>
          <w:highlight w:val="none"/>
        </w:rPr>
      </w:pPr>
    </w:p>
    <w:p w14:paraId="4A4D7B3F">
      <w:pPr>
        <w:pStyle w:val="26"/>
        <w:ind w:left="420" w:firstLine="560"/>
        <w:rPr>
          <w:rFonts w:hint="eastAsia"/>
          <w:color w:val="auto"/>
          <w:szCs w:val="28"/>
          <w:highlight w:val="none"/>
        </w:rPr>
      </w:pPr>
    </w:p>
    <w:p w14:paraId="18C366F8">
      <w:pPr>
        <w:rPr>
          <w:rFonts w:hint="eastAsia" w:ascii="宋体"/>
          <w:color w:val="auto"/>
          <w:sz w:val="28"/>
          <w:szCs w:val="28"/>
          <w:highlight w:val="none"/>
        </w:rPr>
      </w:pPr>
    </w:p>
    <w:p w14:paraId="7878C733">
      <w:pPr>
        <w:pStyle w:val="26"/>
        <w:ind w:left="420" w:firstLine="560"/>
        <w:rPr>
          <w:rFonts w:hint="eastAsia"/>
          <w:color w:val="auto"/>
          <w:szCs w:val="28"/>
          <w:highlight w:val="none"/>
        </w:rPr>
      </w:pPr>
    </w:p>
    <w:p w14:paraId="52F57457">
      <w:pPr>
        <w:rPr>
          <w:rFonts w:hint="eastAsia" w:ascii="宋体"/>
          <w:color w:val="auto"/>
          <w:sz w:val="28"/>
          <w:szCs w:val="28"/>
          <w:highlight w:val="none"/>
        </w:rPr>
      </w:pPr>
    </w:p>
    <w:p w14:paraId="0ECC7711">
      <w:pPr>
        <w:rPr>
          <w:rFonts w:hint="eastAsia" w:ascii="宋体"/>
          <w:color w:val="auto"/>
          <w:sz w:val="28"/>
          <w:szCs w:val="28"/>
          <w:highlight w:val="none"/>
        </w:rPr>
      </w:pPr>
    </w:p>
    <w:p w14:paraId="587756D5">
      <w:pPr>
        <w:jc w:val="center"/>
        <w:rPr>
          <w:rFonts w:hint="eastAsia" w:ascii="宋体"/>
          <w:color w:val="auto"/>
          <w:sz w:val="28"/>
          <w:szCs w:val="28"/>
          <w:highlight w:val="none"/>
          <w:u w:val="single"/>
        </w:rPr>
      </w:pPr>
      <w:r>
        <w:rPr>
          <w:rFonts w:hint="eastAsia" w:ascii="宋体"/>
          <w:color w:val="auto"/>
          <w:sz w:val="28"/>
          <w:szCs w:val="28"/>
          <w:highlight w:val="none"/>
        </w:rPr>
        <w:t>投标供应商：</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7139F8F3">
      <w:pPr>
        <w:jc w:val="center"/>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0F41D7C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9FA90A6">
      <w:pPr>
        <w:spacing w:line="720" w:lineRule="auto"/>
        <w:jc w:val="center"/>
        <w:rPr>
          <w:rFonts w:hint="eastAsia" w:ascii="宋体" w:hAnsi="宋体"/>
          <w:b/>
          <w:color w:val="auto"/>
          <w:sz w:val="36"/>
          <w:szCs w:val="36"/>
          <w:highlight w:val="none"/>
        </w:rPr>
      </w:pPr>
    </w:p>
    <w:p w14:paraId="67F90C44">
      <w:pPr>
        <w:pStyle w:val="61"/>
        <w:rPr>
          <w:rFonts w:hint="eastAsia" w:ascii="宋体" w:hAnsi="宋体"/>
          <w:b/>
          <w:color w:val="auto"/>
          <w:sz w:val="36"/>
          <w:szCs w:val="36"/>
          <w:highlight w:val="none"/>
        </w:rPr>
      </w:pPr>
    </w:p>
    <w:p w14:paraId="19D4ACBF">
      <w:pPr>
        <w:spacing w:line="400" w:lineRule="exact"/>
        <w:rPr>
          <w:rFonts w:hint="eastAsia"/>
          <w:b/>
          <w:color w:val="auto"/>
          <w:sz w:val="44"/>
          <w:szCs w:val="44"/>
          <w:highlight w:val="none"/>
        </w:rPr>
      </w:pPr>
    </w:p>
    <w:p w14:paraId="2468B7BB">
      <w:pPr>
        <w:spacing w:line="500" w:lineRule="exact"/>
        <w:jc w:val="center"/>
        <w:rPr>
          <w:rFonts w:hint="eastAsia"/>
          <w:b/>
          <w:color w:val="auto"/>
          <w:sz w:val="44"/>
          <w:szCs w:val="44"/>
          <w:highlight w:val="none"/>
        </w:rPr>
      </w:pPr>
      <w:r>
        <w:rPr>
          <w:rFonts w:hint="eastAsia"/>
          <w:b/>
          <w:color w:val="auto"/>
          <w:sz w:val="44"/>
          <w:szCs w:val="44"/>
          <w:highlight w:val="none"/>
        </w:rPr>
        <w:t>目   录</w:t>
      </w:r>
    </w:p>
    <w:p w14:paraId="133130CF">
      <w:pPr>
        <w:spacing w:line="440" w:lineRule="exact"/>
        <w:ind w:left="-9" w:right="-199" w:rightChars="-95" w:firstLine="9"/>
        <w:rPr>
          <w:rFonts w:hint="eastAsia" w:ascii="宋体" w:hAnsi="宋体" w:cs="宋体"/>
          <w:color w:val="auto"/>
          <w:szCs w:val="21"/>
          <w:highlight w:val="none"/>
        </w:rPr>
      </w:pPr>
    </w:p>
    <w:p w14:paraId="325E85A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（1）详细的货物名称、规格、技术参数等【附技术参数响应表、货物的详细配置清单，格式见附件】；</w:t>
      </w:r>
    </w:p>
    <w:p w14:paraId="2B1704B3">
      <w:pPr>
        <w:spacing w:line="440" w:lineRule="exact"/>
        <w:ind w:firstLine="420" w:firstLineChars="200"/>
        <w:jc w:val="left"/>
        <w:rPr>
          <w:rStyle w:val="47"/>
          <w:rFonts w:hint="eastAsia" w:ascii="Calibri" w:hAnsi="Calibri"/>
          <w:color w:val="auto"/>
          <w:highlight w:val="none"/>
        </w:rPr>
      </w:pPr>
      <w:r>
        <w:rPr>
          <w:rFonts w:hint="eastAsia" w:ascii="宋体" w:hAnsi="宋体" w:cs="宋体"/>
          <w:bCs/>
          <w:color w:val="auto"/>
          <w:szCs w:val="21"/>
          <w:highlight w:val="none"/>
        </w:rPr>
        <w:t>（2）服务方案（包括但不限于安装实施方案</w:t>
      </w:r>
      <w:r>
        <w:rPr>
          <w:rStyle w:val="47"/>
          <w:rFonts w:hint="eastAsia" w:ascii="Calibri" w:hAnsi="Calibri"/>
          <w:color w:val="auto"/>
          <w:highlight w:val="none"/>
        </w:rPr>
        <w:t>、</w:t>
      </w:r>
      <w:r>
        <w:rPr>
          <w:rFonts w:hint="eastAsia" w:ascii="宋体" w:hAnsi="宋体" w:cs="宋体"/>
          <w:bCs/>
          <w:color w:val="auto"/>
          <w:szCs w:val="21"/>
          <w:highlight w:val="none"/>
        </w:rPr>
        <w:t>技术方案、数据安全方案</w:t>
      </w:r>
      <w:r>
        <w:rPr>
          <w:rStyle w:val="47"/>
          <w:rFonts w:hint="eastAsia" w:ascii="Calibri" w:hAnsi="Calibri"/>
          <w:color w:val="auto"/>
          <w:highlight w:val="none"/>
        </w:rPr>
        <w:t>、</w:t>
      </w:r>
      <w:r>
        <w:rPr>
          <w:rFonts w:hint="eastAsia" w:ascii="宋体" w:hAnsi="宋体" w:cs="宋体"/>
          <w:bCs/>
          <w:color w:val="auto"/>
          <w:szCs w:val="21"/>
          <w:highlight w:val="none"/>
        </w:rPr>
        <w:t>数据迁移方案</w:t>
      </w:r>
      <w:r>
        <w:rPr>
          <w:rStyle w:val="47"/>
          <w:rFonts w:hint="eastAsia" w:ascii="Calibri" w:hAnsi="Calibri"/>
          <w:color w:val="auto"/>
          <w:highlight w:val="none"/>
        </w:rPr>
        <w:t>、</w:t>
      </w:r>
      <w:r>
        <w:rPr>
          <w:rFonts w:hint="eastAsia" w:ascii="宋体" w:hAnsi="宋体" w:cs="宋体"/>
          <w:bCs/>
          <w:color w:val="auto"/>
          <w:szCs w:val="21"/>
          <w:highlight w:val="none"/>
        </w:rPr>
        <w:t>售后服务承诺</w:t>
      </w:r>
      <w:r>
        <w:rPr>
          <w:rStyle w:val="47"/>
          <w:rFonts w:hint="eastAsia" w:ascii="Calibri" w:hAnsi="Calibri"/>
          <w:color w:val="auto"/>
          <w:highlight w:val="none"/>
        </w:rPr>
        <w:t>等</w:t>
      </w:r>
      <w:r>
        <w:rPr>
          <w:rFonts w:hint="eastAsia" w:ascii="宋体" w:hAnsi="宋体" w:cs="宋体"/>
          <w:bCs/>
          <w:color w:val="auto"/>
          <w:szCs w:val="21"/>
          <w:highlight w:val="none"/>
        </w:rPr>
        <w:t>）</w:t>
      </w:r>
    </w:p>
    <w:p w14:paraId="3F78FB1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（3）技术标中要求提供的其他相关资料和技术标评分细则中需要提供的其他相关资料；</w:t>
      </w:r>
    </w:p>
    <w:p w14:paraId="4D34E719">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以上材料须按顺序装订，复印件均须加盖供应商公章。供应商所提交的技术标文件的完整与否，直接影响供应商的评审。</w:t>
      </w:r>
    </w:p>
    <w:p w14:paraId="77C8532E">
      <w:pPr>
        <w:spacing w:line="440" w:lineRule="exact"/>
        <w:ind w:firstLine="420" w:firstLineChars="200"/>
        <w:jc w:val="left"/>
        <w:rPr>
          <w:rFonts w:hint="eastAsia" w:ascii="宋体" w:hAnsi="宋体" w:cs="宋体"/>
          <w:bCs/>
          <w:color w:val="auto"/>
          <w:szCs w:val="21"/>
          <w:highlight w:val="none"/>
        </w:rPr>
      </w:pPr>
    </w:p>
    <w:p w14:paraId="136FE22D">
      <w:pPr>
        <w:spacing w:line="440" w:lineRule="exact"/>
        <w:ind w:firstLine="420" w:firstLineChars="200"/>
        <w:jc w:val="left"/>
        <w:rPr>
          <w:rFonts w:hint="eastAsia" w:ascii="宋体" w:hAnsi="宋体" w:cs="宋体"/>
          <w:bCs/>
          <w:color w:val="auto"/>
          <w:szCs w:val="21"/>
          <w:highlight w:val="none"/>
        </w:rPr>
      </w:pPr>
    </w:p>
    <w:p w14:paraId="711752CC">
      <w:pPr>
        <w:spacing w:line="440" w:lineRule="exact"/>
        <w:ind w:firstLine="420" w:firstLineChars="200"/>
        <w:jc w:val="left"/>
        <w:rPr>
          <w:rFonts w:hint="eastAsia" w:ascii="宋体" w:hAnsi="宋体" w:cs="宋体"/>
          <w:bCs/>
          <w:color w:val="auto"/>
          <w:szCs w:val="21"/>
          <w:highlight w:val="none"/>
        </w:rPr>
      </w:pPr>
    </w:p>
    <w:p w14:paraId="4E4948B1">
      <w:pPr>
        <w:rPr>
          <w:rFonts w:hint="eastAsia" w:ascii="宋体" w:hAnsi="宋体"/>
          <w:b/>
          <w:color w:val="auto"/>
          <w:sz w:val="24"/>
          <w:highlight w:val="none"/>
        </w:rPr>
      </w:pPr>
    </w:p>
    <w:p w14:paraId="619363D2">
      <w:pPr>
        <w:rPr>
          <w:rFonts w:hint="eastAsia" w:ascii="宋体" w:hAnsi="宋体"/>
          <w:b/>
          <w:color w:val="auto"/>
          <w:sz w:val="24"/>
          <w:highlight w:val="none"/>
        </w:rPr>
      </w:pPr>
    </w:p>
    <w:p w14:paraId="75CE5D9B">
      <w:pPr>
        <w:rPr>
          <w:rFonts w:hint="eastAsia" w:ascii="宋体" w:hAnsi="宋体"/>
          <w:b/>
          <w:color w:val="auto"/>
          <w:sz w:val="24"/>
          <w:highlight w:val="none"/>
        </w:rPr>
      </w:pPr>
    </w:p>
    <w:p w14:paraId="4A2D0777">
      <w:pPr>
        <w:pStyle w:val="26"/>
        <w:ind w:firstLine="482"/>
        <w:rPr>
          <w:rFonts w:hint="eastAsia" w:hAnsi="宋体"/>
          <w:b/>
          <w:color w:val="auto"/>
          <w:sz w:val="24"/>
          <w:highlight w:val="none"/>
        </w:rPr>
      </w:pPr>
    </w:p>
    <w:p w14:paraId="3CC49F42">
      <w:pPr>
        <w:rPr>
          <w:rFonts w:hint="eastAsia" w:ascii="宋体" w:hAnsi="宋体"/>
          <w:b/>
          <w:color w:val="auto"/>
          <w:sz w:val="24"/>
          <w:highlight w:val="none"/>
        </w:rPr>
      </w:pPr>
    </w:p>
    <w:p w14:paraId="2F382511">
      <w:pPr>
        <w:pStyle w:val="26"/>
        <w:ind w:firstLine="482"/>
        <w:rPr>
          <w:rFonts w:hint="eastAsia" w:hAnsi="宋体"/>
          <w:b/>
          <w:color w:val="auto"/>
          <w:sz w:val="24"/>
          <w:highlight w:val="none"/>
        </w:rPr>
      </w:pPr>
    </w:p>
    <w:p w14:paraId="314AE1AA">
      <w:pPr>
        <w:rPr>
          <w:rFonts w:hint="eastAsia" w:ascii="宋体" w:hAnsi="宋体"/>
          <w:b/>
          <w:color w:val="auto"/>
          <w:sz w:val="24"/>
          <w:highlight w:val="none"/>
        </w:rPr>
      </w:pPr>
    </w:p>
    <w:p w14:paraId="096D5607">
      <w:pPr>
        <w:pStyle w:val="26"/>
        <w:ind w:firstLine="482"/>
        <w:rPr>
          <w:rFonts w:hint="eastAsia" w:hAnsi="宋体"/>
          <w:b/>
          <w:color w:val="auto"/>
          <w:sz w:val="24"/>
          <w:highlight w:val="none"/>
        </w:rPr>
      </w:pPr>
    </w:p>
    <w:p w14:paraId="19E2FA5F">
      <w:pPr>
        <w:rPr>
          <w:rFonts w:hint="eastAsia" w:ascii="宋体" w:hAnsi="宋体"/>
          <w:b/>
          <w:color w:val="auto"/>
          <w:sz w:val="24"/>
          <w:highlight w:val="none"/>
        </w:rPr>
      </w:pPr>
    </w:p>
    <w:p w14:paraId="060BEBE5">
      <w:pPr>
        <w:pStyle w:val="26"/>
        <w:ind w:firstLine="482"/>
        <w:rPr>
          <w:rFonts w:hint="eastAsia" w:hAnsi="宋体"/>
          <w:b/>
          <w:color w:val="auto"/>
          <w:sz w:val="24"/>
          <w:highlight w:val="none"/>
        </w:rPr>
      </w:pPr>
    </w:p>
    <w:p w14:paraId="3579C8BD">
      <w:pPr>
        <w:rPr>
          <w:rFonts w:hint="eastAsia" w:ascii="宋体" w:hAnsi="宋体"/>
          <w:b/>
          <w:color w:val="auto"/>
          <w:sz w:val="24"/>
          <w:highlight w:val="none"/>
        </w:rPr>
      </w:pPr>
    </w:p>
    <w:p w14:paraId="7CBD9FD5">
      <w:pPr>
        <w:pStyle w:val="26"/>
        <w:ind w:firstLine="482"/>
        <w:rPr>
          <w:rFonts w:hint="eastAsia" w:hAnsi="宋体"/>
          <w:b/>
          <w:color w:val="auto"/>
          <w:sz w:val="24"/>
          <w:highlight w:val="none"/>
        </w:rPr>
      </w:pPr>
    </w:p>
    <w:p w14:paraId="092F4850">
      <w:pPr>
        <w:rPr>
          <w:rFonts w:hint="eastAsia" w:ascii="宋体" w:hAnsi="宋体"/>
          <w:b/>
          <w:color w:val="auto"/>
          <w:sz w:val="24"/>
          <w:highlight w:val="none"/>
        </w:rPr>
      </w:pPr>
    </w:p>
    <w:p w14:paraId="305ADBD7">
      <w:pPr>
        <w:pStyle w:val="26"/>
        <w:ind w:firstLine="482"/>
        <w:rPr>
          <w:rFonts w:hint="eastAsia" w:hAnsi="宋体"/>
          <w:b/>
          <w:color w:val="auto"/>
          <w:sz w:val="24"/>
          <w:highlight w:val="none"/>
        </w:rPr>
      </w:pPr>
    </w:p>
    <w:p w14:paraId="6DA26D40">
      <w:pPr>
        <w:rPr>
          <w:rFonts w:hint="eastAsia" w:hAnsi="宋体"/>
          <w:b/>
          <w:color w:val="auto"/>
          <w:sz w:val="24"/>
          <w:highlight w:val="none"/>
        </w:rPr>
      </w:pPr>
    </w:p>
    <w:p w14:paraId="0F4DAF70">
      <w:pPr>
        <w:rPr>
          <w:rFonts w:hint="eastAsia" w:hAnsi="宋体"/>
          <w:b/>
          <w:color w:val="auto"/>
          <w:sz w:val="24"/>
          <w:highlight w:val="none"/>
        </w:rPr>
      </w:pPr>
    </w:p>
    <w:p w14:paraId="7B91D041">
      <w:pPr>
        <w:rPr>
          <w:rFonts w:hint="eastAsia" w:hAnsi="宋体"/>
          <w:b/>
          <w:color w:val="auto"/>
          <w:sz w:val="24"/>
          <w:highlight w:val="none"/>
        </w:rPr>
      </w:pPr>
    </w:p>
    <w:p w14:paraId="039EAD48">
      <w:pPr>
        <w:rPr>
          <w:rFonts w:hint="eastAsia" w:hAnsi="宋体"/>
          <w:b/>
          <w:color w:val="auto"/>
          <w:sz w:val="24"/>
          <w:highlight w:val="none"/>
        </w:rPr>
      </w:pPr>
    </w:p>
    <w:p w14:paraId="24DD0710">
      <w:pPr>
        <w:rPr>
          <w:rFonts w:hint="eastAsia" w:ascii="宋体" w:hAnsi="宋体"/>
          <w:b/>
          <w:color w:val="auto"/>
          <w:sz w:val="24"/>
          <w:highlight w:val="none"/>
        </w:rPr>
      </w:pPr>
    </w:p>
    <w:p w14:paraId="69408858">
      <w:pPr>
        <w:pStyle w:val="26"/>
        <w:ind w:firstLine="482"/>
        <w:rPr>
          <w:rFonts w:hint="eastAsia" w:hAnsi="宋体"/>
          <w:b/>
          <w:color w:val="auto"/>
          <w:sz w:val="24"/>
          <w:highlight w:val="none"/>
        </w:rPr>
      </w:pPr>
    </w:p>
    <w:p w14:paraId="26AC6A47">
      <w:pPr>
        <w:rPr>
          <w:rFonts w:hint="eastAsia" w:ascii="宋体" w:hAnsi="宋体"/>
          <w:b/>
          <w:color w:val="auto"/>
          <w:sz w:val="24"/>
          <w:highlight w:val="none"/>
        </w:rPr>
      </w:pPr>
    </w:p>
    <w:p w14:paraId="2CB8FD83">
      <w:pPr>
        <w:pStyle w:val="26"/>
        <w:ind w:firstLine="482"/>
        <w:rPr>
          <w:rFonts w:hint="eastAsia" w:hAnsi="宋体"/>
          <w:b/>
          <w:color w:val="auto"/>
          <w:sz w:val="24"/>
          <w:highlight w:val="none"/>
        </w:rPr>
      </w:pPr>
    </w:p>
    <w:p w14:paraId="1BF36C66">
      <w:pPr>
        <w:jc w:val="center"/>
        <w:rPr>
          <w:rFonts w:hint="eastAsia" w:ascii="宋体" w:hAnsi="宋体"/>
          <w:b/>
          <w:color w:val="auto"/>
          <w:sz w:val="30"/>
          <w:szCs w:val="30"/>
          <w:highlight w:val="none"/>
        </w:rPr>
      </w:pPr>
      <w:r>
        <w:rPr>
          <w:rFonts w:hint="eastAsia" w:ascii="宋体" w:hAnsi="宋体"/>
          <w:b/>
          <w:color w:val="auto"/>
          <w:sz w:val="30"/>
          <w:szCs w:val="30"/>
          <w:highlight w:val="none"/>
        </w:rPr>
        <w:t>技术参数响应表（格式）</w:t>
      </w:r>
    </w:p>
    <w:p w14:paraId="7E684704">
      <w:pPr>
        <w:rPr>
          <w:rFonts w:hint="eastAsia" w:ascii="宋体" w:hAnsi="宋体"/>
          <w:color w:val="auto"/>
          <w:sz w:val="24"/>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2085"/>
        <w:gridCol w:w="1625"/>
        <w:gridCol w:w="1187"/>
        <w:gridCol w:w="1736"/>
      </w:tblGrid>
      <w:tr w14:paraId="695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noWrap w:val="0"/>
            <w:vAlign w:val="center"/>
          </w:tcPr>
          <w:p w14:paraId="2DFF065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noWrap w:val="0"/>
            <w:vAlign w:val="center"/>
          </w:tcPr>
          <w:p w14:paraId="41B433F5">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710" w:type="dxa"/>
            <w:gridSpan w:val="2"/>
            <w:noWrap w:val="0"/>
            <w:vAlign w:val="center"/>
          </w:tcPr>
          <w:p w14:paraId="7D29209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187" w:type="dxa"/>
            <w:vMerge w:val="restart"/>
            <w:noWrap w:val="0"/>
            <w:vAlign w:val="center"/>
          </w:tcPr>
          <w:p w14:paraId="12AA487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736" w:type="dxa"/>
            <w:vMerge w:val="restart"/>
            <w:noWrap w:val="0"/>
            <w:vAlign w:val="center"/>
          </w:tcPr>
          <w:p w14:paraId="20B4438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01A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noWrap w:val="0"/>
            <w:vAlign w:val="top"/>
          </w:tcPr>
          <w:p w14:paraId="15FB327D">
            <w:pPr>
              <w:spacing w:line="240" w:lineRule="atLeast"/>
              <w:ind w:firstLine="105" w:firstLineChars="50"/>
              <w:rPr>
                <w:rFonts w:hint="eastAsia" w:ascii="宋体" w:hAnsi="宋体" w:cs="宋体"/>
                <w:color w:val="auto"/>
                <w:szCs w:val="21"/>
                <w:highlight w:val="none"/>
              </w:rPr>
            </w:pPr>
          </w:p>
        </w:tc>
        <w:tc>
          <w:tcPr>
            <w:tcW w:w="1421" w:type="dxa"/>
            <w:vMerge w:val="continue"/>
            <w:noWrap w:val="0"/>
            <w:vAlign w:val="top"/>
          </w:tcPr>
          <w:p w14:paraId="62474136">
            <w:pPr>
              <w:spacing w:line="240" w:lineRule="atLeast"/>
              <w:jc w:val="center"/>
              <w:rPr>
                <w:rFonts w:hint="eastAsia" w:ascii="宋体" w:hAnsi="宋体" w:cs="宋体"/>
                <w:color w:val="auto"/>
                <w:szCs w:val="21"/>
                <w:highlight w:val="none"/>
              </w:rPr>
            </w:pPr>
          </w:p>
        </w:tc>
        <w:tc>
          <w:tcPr>
            <w:tcW w:w="2085" w:type="dxa"/>
            <w:noWrap w:val="0"/>
            <w:vAlign w:val="top"/>
          </w:tcPr>
          <w:p w14:paraId="34BCC2A5">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625" w:type="dxa"/>
            <w:noWrap w:val="0"/>
            <w:vAlign w:val="top"/>
          </w:tcPr>
          <w:p w14:paraId="19E838A5">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187" w:type="dxa"/>
            <w:vMerge w:val="continue"/>
            <w:noWrap w:val="0"/>
            <w:vAlign w:val="top"/>
          </w:tcPr>
          <w:p w14:paraId="1929461F">
            <w:pPr>
              <w:spacing w:line="240" w:lineRule="atLeast"/>
              <w:jc w:val="center"/>
              <w:rPr>
                <w:rFonts w:hint="eastAsia" w:ascii="宋体" w:hAnsi="宋体" w:cs="宋体"/>
                <w:color w:val="auto"/>
                <w:szCs w:val="21"/>
                <w:highlight w:val="none"/>
              </w:rPr>
            </w:pPr>
          </w:p>
        </w:tc>
        <w:tc>
          <w:tcPr>
            <w:tcW w:w="1736" w:type="dxa"/>
            <w:vMerge w:val="continue"/>
            <w:noWrap w:val="0"/>
            <w:vAlign w:val="top"/>
          </w:tcPr>
          <w:p w14:paraId="0E415FB9">
            <w:pPr>
              <w:spacing w:line="240" w:lineRule="atLeast"/>
              <w:jc w:val="center"/>
              <w:rPr>
                <w:rFonts w:hint="eastAsia" w:ascii="宋体" w:hAnsi="宋体" w:cs="宋体"/>
                <w:color w:val="auto"/>
                <w:szCs w:val="21"/>
                <w:highlight w:val="none"/>
              </w:rPr>
            </w:pPr>
          </w:p>
        </w:tc>
      </w:tr>
      <w:tr w14:paraId="6002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D3CCCF9">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71C503B4">
            <w:pPr>
              <w:spacing w:line="360" w:lineRule="auto"/>
              <w:jc w:val="center"/>
              <w:textAlignment w:val="center"/>
              <w:rPr>
                <w:rFonts w:hint="eastAsia" w:ascii="宋体" w:hAnsi="宋体"/>
                <w:color w:val="auto"/>
                <w:szCs w:val="21"/>
                <w:highlight w:val="none"/>
              </w:rPr>
            </w:pPr>
          </w:p>
        </w:tc>
        <w:tc>
          <w:tcPr>
            <w:tcW w:w="2085" w:type="dxa"/>
            <w:noWrap w:val="0"/>
            <w:vAlign w:val="center"/>
          </w:tcPr>
          <w:p w14:paraId="14304473">
            <w:pPr>
              <w:ind w:firstLine="630" w:firstLineChars="300"/>
              <w:jc w:val="center"/>
              <w:rPr>
                <w:rFonts w:hint="eastAsia" w:ascii="宋体" w:hAnsi="宋体"/>
                <w:color w:val="auto"/>
                <w:szCs w:val="21"/>
                <w:highlight w:val="none"/>
              </w:rPr>
            </w:pPr>
          </w:p>
        </w:tc>
        <w:tc>
          <w:tcPr>
            <w:tcW w:w="1625" w:type="dxa"/>
            <w:noWrap w:val="0"/>
            <w:vAlign w:val="center"/>
          </w:tcPr>
          <w:p w14:paraId="019A0475">
            <w:pPr>
              <w:ind w:firstLine="630" w:firstLineChars="300"/>
              <w:jc w:val="center"/>
              <w:rPr>
                <w:rFonts w:hint="eastAsia" w:ascii="宋体" w:hAnsi="宋体"/>
                <w:color w:val="auto"/>
                <w:szCs w:val="21"/>
                <w:highlight w:val="none"/>
              </w:rPr>
            </w:pPr>
          </w:p>
        </w:tc>
        <w:tc>
          <w:tcPr>
            <w:tcW w:w="1187" w:type="dxa"/>
            <w:noWrap w:val="0"/>
            <w:vAlign w:val="center"/>
          </w:tcPr>
          <w:p w14:paraId="23FE5029">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736" w:type="dxa"/>
            <w:noWrap w:val="0"/>
            <w:vAlign w:val="center"/>
          </w:tcPr>
          <w:p w14:paraId="175EE425">
            <w:pPr>
              <w:jc w:val="center"/>
              <w:rPr>
                <w:rFonts w:hint="eastAsia" w:ascii="宋体" w:hAnsi="宋体"/>
                <w:color w:val="auto"/>
                <w:szCs w:val="21"/>
                <w:highlight w:val="none"/>
              </w:rPr>
            </w:pPr>
          </w:p>
        </w:tc>
      </w:tr>
      <w:tr w14:paraId="7C4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6F5B0B9">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7D7C925B">
            <w:pPr>
              <w:spacing w:line="360" w:lineRule="auto"/>
              <w:jc w:val="center"/>
              <w:textAlignment w:val="center"/>
              <w:rPr>
                <w:rFonts w:hint="eastAsia" w:ascii="宋体" w:hAnsi="宋体"/>
                <w:color w:val="auto"/>
                <w:sz w:val="24"/>
                <w:highlight w:val="none"/>
              </w:rPr>
            </w:pPr>
          </w:p>
        </w:tc>
        <w:tc>
          <w:tcPr>
            <w:tcW w:w="2085" w:type="dxa"/>
            <w:noWrap w:val="0"/>
            <w:vAlign w:val="center"/>
          </w:tcPr>
          <w:p w14:paraId="1CB62276">
            <w:pPr>
              <w:ind w:firstLine="630" w:firstLineChars="300"/>
              <w:jc w:val="center"/>
              <w:rPr>
                <w:rFonts w:hint="eastAsia" w:ascii="宋体" w:hAnsi="宋体"/>
                <w:color w:val="auto"/>
                <w:szCs w:val="21"/>
                <w:highlight w:val="none"/>
              </w:rPr>
            </w:pPr>
          </w:p>
        </w:tc>
        <w:tc>
          <w:tcPr>
            <w:tcW w:w="1625" w:type="dxa"/>
            <w:noWrap w:val="0"/>
            <w:vAlign w:val="center"/>
          </w:tcPr>
          <w:p w14:paraId="1E4B62F2">
            <w:pPr>
              <w:ind w:firstLine="630" w:firstLineChars="300"/>
              <w:jc w:val="center"/>
              <w:rPr>
                <w:rFonts w:hint="eastAsia" w:ascii="宋体" w:hAnsi="宋体"/>
                <w:color w:val="auto"/>
                <w:szCs w:val="21"/>
                <w:highlight w:val="none"/>
              </w:rPr>
            </w:pPr>
          </w:p>
        </w:tc>
        <w:tc>
          <w:tcPr>
            <w:tcW w:w="1187" w:type="dxa"/>
            <w:noWrap w:val="0"/>
            <w:vAlign w:val="center"/>
          </w:tcPr>
          <w:p w14:paraId="6AD8FB9B">
            <w:pPr>
              <w:jc w:val="center"/>
              <w:rPr>
                <w:color w:val="auto"/>
                <w:highlight w:val="none"/>
              </w:rPr>
            </w:pPr>
            <w:r>
              <w:rPr>
                <w:rFonts w:hint="eastAsia" w:ascii="宋体" w:hAnsi="宋体" w:cs="宋体"/>
                <w:color w:val="auto"/>
                <w:szCs w:val="21"/>
                <w:highlight w:val="none"/>
              </w:rPr>
              <w:t>是/否</w:t>
            </w:r>
          </w:p>
        </w:tc>
        <w:tc>
          <w:tcPr>
            <w:tcW w:w="1736" w:type="dxa"/>
            <w:noWrap w:val="0"/>
            <w:vAlign w:val="center"/>
          </w:tcPr>
          <w:p w14:paraId="4549882A">
            <w:pPr>
              <w:jc w:val="center"/>
              <w:rPr>
                <w:rFonts w:hint="eastAsia" w:ascii="宋体" w:hAnsi="宋体"/>
                <w:color w:val="auto"/>
                <w:szCs w:val="21"/>
                <w:highlight w:val="none"/>
              </w:rPr>
            </w:pPr>
          </w:p>
        </w:tc>
      </w:tr>
      <w:tr w14:paraId="6E15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3428A4D9">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2ED581BC">
            <w:pPr>
              <w:spacing w:line="360" w:lineRule="auto"/>
              <w:jc w:val="center"/>
              <w:textAlignment w:val="center"/>
              <w:rPr>
                <w:rFonts w:hint="eastAsia" w:ascii="宋体" w:hAnsi="宋体"/>
                <w:color w:val="auto"/>
                <w:sz w:val="24"/>
                <w:highlight w:val="none"/>
              </w:rPr>
            </w:pPr>
          </w:p>
        </w:tc>
        <w:tc>
          <w:tcPr>
            <w:tcW w:w="2085" w:type="dxa"/>
            <w:noWrap w:val="0"/>
            <w:vAlign w:val="center"/>
          </w:tcPr>
          <w:p w14:paraId="040FEAE7">
            <w:pPr>
              <w:ind w:firstLine="630" w:firstLineChars="300"/>
              <w:jc w:val="center"/>
              <w:rPr>
                <w:rFonts w:hint="eastAsia" w:ascii="宋体" w:hAnsi="宋体"/>
                <w:color w:val="auto"/>
                <w:szCs w:val="21"/>
                <w:highlight w:val="none"/>
              </w:rPr>
            </w:pPr>
          </w:p>
        </w:tc>
        <w:tc>
          <w:tcPr>
            <w:tcW w:w="1625" w:type="dxa"/>
            <w:noWrap w:val="0"/>
            <w:vAlign w:val="center"/>
          </w:tcPr>
          <w:p w14:paraId="5EDCAC8C">
            <w:pPr>
              <w:ind w:firstLine="630" w:firstLineChars="300"/>
              <w:jc w:val="center"/>
              <w:rPr>
                <w:rFonts w:hint="eastAsia" w:ascii="宋体" w:hAnsi="宋体"/>
                <w:color w:val="auto"/>
                <w:szCs w:val="21"/>
                <w:highlight w:val="none"/>
              </w:rPr>
            </w:pPr>
          </w:p>
        </w:tc>
        <w:tc>
          <w:tcPr>
            <w:tcW w:w="1187" w:type="dxa"/>
            <w:noWrap w:val="0"/>
            <w:vAlign w:val="center"/>
          </w:tcPr>
          <w:p w14:paraId="16EFD077">
            <w:pPr>
              <w:jc w:val="center"/>
              <w:rPr>
                <w:color w:val="auto"/>
                <w:highlight w:val="none"/>
              </w:rPr>
            </w:pPr>
            <w:r>
              <w:rPr>
                <w:rFonts w:hint="eastAsia" w:ascii="宋体" w:hAnsi="宋体" w:cs="宋体"/>
                <w:color w:val="auto"/>
                <w:szCs w:val="21"/>
                <w:highlight w:val="none"/>
              </w:rPr>
              <w:t>是/否</w:t>
            </w:r>
          </w:p>
        </w:tc>
        <w:tc>
          <w:tcPr>
            <w:tcW w:w="1736" w:type="dxa"/>
            <w:noWrap w:val="0"/>
            <w:vAlign w:val="center"/>
          </w:tcPr>
          <w:p w14:paraId="59D4EAD0">
            <w:pPr>
              <w:jc w:val="center"/>
              <w:rPr>
                <w:rFonts w:hint="eastAsia" w:ascii="宋体" w:hAnsi="宋体"/>
                <w:color w:val="auto"/>
                <w:szCs w:val="21"/>
                <w:highlight w:val="none"/>
              </w:rPr>
            </w:pPr>
          </w:p>
        </w:tc>
      </w:tr>
      <w:tr w14:paraId="5409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9FF0751">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11849E17">
            <w:pPr>
              <w:spacing w:line="360" w:lineRule="auto"/>
              <w:jc w:val="center"/>
              <w:textAlignment w:val="center"/>
              <w:rPr>
                <w:rFonts w:hint="eastAsia" w:ascii="宋体" w:hAnsi="宋体"/>
                <w:color w:val="auto"/>
                <w:sz w:val="24"/>
                <w:highlight w:val="none"/>
              </w:rPr>
            </w:pPr>
          </w:p>
        </w:tc>
        <w:tc>
          <w:tcPr>
            <w:tcW w:w="2085" w:type="dxa"/>
            <w:noWrap w:val="0"/>
            <w:vAlign w:val="center"/>
          </w:tcPr>
          <w:p w14:paraId="45CE4C1F">
            <w:pPr>
              <w:ind w:firstLine="630" w:firstLineChars="300"/>
              <w:jc w:val="center"/>
              <w:rPr>
                <w:rFonts w:hint="eastAsia" w:ascii="宋体" w:hAnsi="宋体"/>
                <w:color w:val="auto"/>
                <w:szCs w:val="21"/>
                <w:highlight w:val="none"/>
              </w:rPr>
            </w:pPr>
          </w:p>
        </w:tc>
        <w:tc>
          <w:tcPr>
            <w:tcW w:w="1625" w:type="dxa"/>
            <w:noWrap w:val="0"/>
            <w:vAlign w:val="center"/>
          </w:tcPr>
          <w:p w14:paraId="259415D5">
            <w:pPr>
              <w:ind w:firstLine="630" w:firstLineChars="300"/>
              <w:jc w:val="center"/>
              <w:rPr>
                <w:rFonts w:hint="eastAsia" w:ascii="宋体" w:hAnsi="宋体"/>
                <w:color w:val="auto"/>
                <w:szCs w:val="21"/>
                <w:highlight w:val="none"/>
              </w:rPr>
            </w:pPr>
          </w:p>
        </w:tc>
        <w:tc>
          <w:tcPr>
            <w:tcW w:w="1187" w:type="dxa"/>
            <w:noWrap w:val="0"/>
            <w:vAlign w:val="center"/>
          </w:tcPr>
          <w:p w14:paraId="5B6D26F5">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736" w:type="dxa"/>
            <w:noWrap w:val="0"/>
            <w:vAlign w:val="center"/>
          </w:tcPr>
          <w:p w14:paraId="15081079">
            <w:pPr>
              <w:jc w:val="center"/>
              <w:rPr>
                <w:rFonts w:hint="eastAsia" w:ascii="宋体" w:hAnsi="宋体"/>
                <w:color w:val="auto"/>
                <w:szCs w:val="21"/>
                <w:highlight w:val="none"/>
              </w:rPr>
            </w:pPr>
          </w:p>
        </w:tc>
      </w:tr>
    </w:tbl>
    <w:p w14:paraId="32732DAC">
      <w:pPr>
        <w:autoSpaceDE w:val="0"/>
        <w:autoSpaceDN w:val="0"/>
        <w:adjustRightInd w:val="0"/>
        <w:ind w:firstLine="632" w:firstLineChars="300"/>
        <w:rPr>
          <w:rFonts w:hint="eastAsia" w:ascii="宋体" w:hAnsi="宋体"/>
          <w:b/>
          <w:color w:val="auto"/>
          <w:szCs w:val="21"/>
          <w:highlight w:val="none"/>
          <w:lang w:val="zh-CN"/>
        </w:rPr>
      </w:pPr>
    </w:p>
    <w:p w14:paraId="04443C24">
      <w:pPr>
        <w:spacing w:line="480" w:lineRule="auto"/>
        <w:ind w:firstLine="480" w:firstLineChars="200"/>
        <w:rPr>
          <w:rFonts w:hint="eastAsia" w:ascii="宋体" w:hAnsi="宋体"/>
          <w:color w:val="auto"/>
          <w:sz w:val="24"/>
          <w:highlight w:val="none"/>
        </w:rPr>
      </w:pPr>
    </w:p>
    <w:p w14:paraId="55768C7C">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投标供应商： </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1B31F77E">
      <w:pPr>
        <w:spacing w:line="480" w:lineRule="auto"/>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 日 期： 年  月  日</w:t>
      </w:r>
    </w:p>
    <w:p w14:paraId="6DCE197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货物的详细配置清单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0399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57D35BFE">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436" w:type="dxa"/>
            <w:noWrap w:val="0"/>
            <w:vAlign w:val="center"/>
          </w:tcPr>
          <w:p w14:paraId="3E27579D">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2154" w:type="dxa"/>
            <w:noWrap w:val="0"/>
            <w:vAlign w:val="center"/>
          </w:tcPr>
          <w:p w14:paraId="607BCE5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171" w:type="dxa"/>
            <w:noWrap w:val="0"/>
            <w:vAlign w:val="center"/>
          </w:tcPr>
          <w:p w14:paraId="260AC0B1">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2180" w:type="dxa"/>
            <w:noWrap w:val="0"/>
            <w:vAlign w:val="center"/>
          </w:tcPr>
          <w:p w14:paraId="40A05FD3">
            <w:pPr>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1142E0EA">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48EA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16238907">
            <w:pPr>
              <w:numPr>
                <w:ilvl w:val="0"/>
                <w:numId w:val="1"/>
              </w:numPr>
              <w:spacing w:line="360" w:lineRule="auto"/>
              <w:ind w:left="0" w:firstLine="0"/>
              <w:rPr>
                <w:rFonts w:hint="eastAsia" w:ascii="宋体" w:hAnsi="宋体"/>
                <w:color w:val="auto"/>
                <w:szCs w:val="21"/>
                <w:highlight w:val="none"/>
              </w:rPr>
            </w:pPr>
          </w:p>
        </w:tc>
        <w:tc>
          <w:tcPr>
            <w:tcW w:w="1436" w:type="dxa"/>
            <w:shd w:val="clear" w:color="auto" w:fill="FFFFFF"/>
            <w:noWrap w:val="0"/>
            <w:vAlign w:val="center"/>
          </w:tcPr>
          <w:p w14:paraId="3BEEF29E">
            <w:pPr>
              <w:spacing w:line="360" w:lineRule="auto"/>
              <w:jc w:val="center"/>
              <w:textAlignment w:val="center"/>
              <w:rPr>
                <w:rFonts w:hint="eastAsia" w:ascii="宋体" w:hAnsi="宋体"/>
                <w:color w:val="auto"/>
                <w:szCs w:val="21"/>
                <w:highlight w:val="none"/>
              </w:rPr>
            </w:pPr>
          </w:p>
        </w:tc>
        <w:tc>
          <w:tcPr>
            <w:tcW w:w="2154" w:type="dxa"/>
            <w:noWrap w:val="0"/>
            <w:vAlign w:val="top"/>
          </w:tcPr>
          <w:p w14:paraId="7B197496">
            <w:pPr>
              <w:spacing w:line="360" w:lineRule="auto"/>
              <w:rPr>
                <w:rFonts w:hint="eastAsia" w:ascii="宋体" w:hAnsi="宋体"/>
                <w:color w:val="auto"/>
                <w:szCs w:val="21"/>
                <w:highlight w:val="none"/>
              </w:rPr>
            </w:pPr>
          </w:p>
        </w:tc>
        <w:tc>
          <w:tcPr>
            <w:tcW w:w="1171" w:type="dxa"/>
            <w:noWrap w:val="0"/>
            <w:vAlign w:val="top"/>
          </w:tcPr>
          <w:p w14:paraId="0DE1CE97">
            <w:pPr>
              <w:spacing w:line="360" w:lineRule="auto"/>
              <w:rPr>
                <w:rFonts w:hint="eastAsia" w:ascii="宋体" w:hAnsi="宋体"/>
                <w:color w:val="auto"/>
                <w:szCs w:val="21"/>
                <w:highlight w:val="none"/>
              </w:rPr>
            </w:pPr>
          </w:p>
        </w:tc>
        <w:tc>
          <w:tcPr>
            <w:tcW w:w="2180" w:type="dxa"/>
            <w:noWrap w:val="0"/>
            <w:vAlign w:val="top"/>
          </w:tcPr>
          <w:p w14:paraId="68B833B3">
            <w:pPr>
              <w:spacing w:line="360" w:lineRule="auto"/>
              <w:rPr>
                <w:rFonts w:hint="eastAsia" w:ascii="宋体" w:hAnsi="宋体"/>
                <w:color w:val="auto"/>
                <w:szCs w:val="21"/>
                <w:highlight w:val="none"/>
              </w:rPr>
            </w:pPr>
          </w:p>
        </w:tc>
        <w:tc>
          <w:tcPr>
            <w:tcW w:w="1532" w:type="dxa"/>
            <w:noWrap w:val="0"/>
            <w:vAlign w:val="top"/>
          </w:tcPr>
          <w:p w14:paraId="08DAE5EE">
            <w:pPr>
              <w:spacing w:line="360" w:lineRule="auto"/>
              <w:rPr>
                <w:rFonts w:hint="eastAsia" w:ascii="宋体" w:hAnsi="宋体"/>
                <w:color w:val="auto"/>
                <w:szCs w:val="21"/>
                <w:highlight w:val="none"/>
              </w:rPr>
            </w:pPr>
          </w:p>
        </w:tc>
      </w:tr>
      <w:tr w14:paraId="31EB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659E9B16">
            <w:pPr>
              <w:numPr>
                <w:ilvl w:val="0"/>
                <w:numId w:val="1"/>
              </w:numPr>
              <w:spacing w:line="360" w:lineRule="auto"/>
              <w:ind w:left="0" w:firstLine="0"/>
              <w:rPr>
                <w:rFonts w:hint="eastAsia" w:ascii="宋体" w:hAnsi="宋体"/>
                <w:color w:val="auto"/>
                <w:szCs w:val="21"/>
                <w:highlight w:val="none"/>
              </w:rPr>
            </w:pPr>
          </w:p>
        </w:tc>
        <w:tc>
          <w:tcPr>
            <w:tcW w:w="1436" w:type="dxa"/>
            <w:shd w:val="clear" w:color="auto" w:fill="FFFFFF"/>
            <w:noWrap w:val="0"/>
            <w:vAlign w:val="center"/>
          </w:tcPr>
          <w:p w14:paraId="72DD1B15">
            <w:pPr>
              <w:spacing w:line="360" w:lineRule="auto"/>
              <w:jc w:val="center"/>
              <w:textAlignment w:val="center"/>
              <w:rPr>
                <w:rFonts w:hint="eastAsia" w:ascii="宋体" w:hAnsi="宋体"/>
                <w:color w:val="auto"/>
                <w:szCs w:val="21"/>
                <w:highlight w:val="none"/>
              </w:rPr>
            </w:pPr>
          </w:p>
        </w:tc>
        <w:tc>
          <w:tcPr>
            <w:tcW w:w="2154" w:type="dxa"/>
            <w:noWrap w:val="0"/>
            <w:vAlign w:val="top"/>
          </w:tcPr>
          <w:p w14:paraId="51D6C035">
            <w:pPr>
              <w:spacing w:line="360" w:lineRule="auto"/>
              <w:rPr>
                <w:rFonts w:hint="eastAsia" w:ascii="宋体" w:hAnsi="宋体"/>
                <w:color w:val="auto"/>
                <w:szCs w:val="21"/>
                <w:highlight w:val="none"/>
              </w:rPr>
            </w:pPr>
          </w:p>
        </w:tc>
        <w:tc>
          <w:tcPr>
            <w:tcW w:w="1171" w:type="dxa"/>
            <w:noWrap w:val="0"/>
            <w:vAlign w:val="top"/>
          </w:tcPr>
          <w:p w14:paraId="27E72CFD">
            <w:pPr>
              <w:spacing w:line="360" w:lineRule="auto"/>
              <w:rPr>
                <w:rFonts w:hint="eastAsia" w:ascii="宋体" w:hAnsi="宋体"/>
                <w:color w:val="auto"/>
                <w:szCs w:val="21"/>
                <w:highlight w:val="none"/>
              </w:rPr>
            </w:pPr>
          </w:p>
        </w:tc>
        <w:tc>
          <w:tcPr>
            <w:tcW w:w="2180" w:type="dxa"/>
            <w:noWrap w:val="0"/>
            <w:vAlign w:val="top"/>
          </w:tcPr>
          <w:p w14:paraId="39682EAE">
            <w:pPr>
              <w:spacing w:line="360" w:lineRule="auto"/>
              <w:rPr>
                <w:rFonts w:hint="eastAsia" w:ascii="宋体" w:hAnsi="宋体"/>
                <w:color w:val="auto"/>
                <w:szCs w:val="21"/>
                <w:highlight w:val="none"/>
              </w:rPr>
            </w:pPr>
          </w:p>
        </w:tc>
        <w:tc>
          <w:tcPr>
            <w:tcW w:w="1532" w:type="dxa"/>
            <w:noWrap w:val="0"/>
            <w:vAlign w:val="top"/>
          </w:tcPr>
          <w:p w14:paraId="03932121">
            <w:pPr>
              <w:spacing w:line="360" w:lineRule="auto"/>
              <w:rPr>
                <w:rFonts w:hint="eastAsia" w:ascii="宋体" w:hAnsi="宋体"/>
                <w:color w:val="auto"/>
                <w:szCs w:val="21"/>
                <w:highlight w:val="none"/>
              </w:rPr>
            </w:pPr>
          </w:p>
        </w:tc>
      </w:tr>
      <w:tr w14:paraId="1D8A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5B52F7E4">
            <w:pPr>
              <w:numPr>
                <w:ilvl w:val="0"/>
                <w:numId w:val="1"/>
              </w:numPr>
              <w:spacing w:line="360" w:lineRule="auto"/>
              <w:ind w:left="0" w:firstLine="0"/>
              <w:rPr>
                <w:rFonts w:hint="eastAsia" w:ascii="宋体" w:hAnsi="宋体"/>
                <w:color w:val="auto"/>
                <w:szCs w:val="21"/>
                <w:highlight w:val="none"/>
              </w:rPr>
            </w:pPr>
          </w:p>
        </w:tc>
        <w:tc>
          <w:tcPr>
            <w:tcW w:w="1436" w:type="dxa"/>
            <w:shd w:val="clear" w:color="auto" w:fill="FFFFFF"/>
            <w:noWrap w:val="0"/>
            <w:vAlign w:val="center"/>
          </w:tcPr>
          <w:p w14:paraId="42C1167C">
            <w:pPr>
              <w:spacing w:line="360" w:lineRule="auto"/>
              <w:jc w:val="center"/>
              <w:textAlignment w:val="center"/>
              <w:rPr>
                <w:rFonts w:hint="eastAsia" w:ascii="宋体" w:hAnsi="宋体"/>
                <w:color w:val="auto"/>
                <w:szCs w:val="21"/>
                <w:highlight w:val="none"/>
              </w:rPr>
            </w:pPr>
          </w:p>
        </w:tc>
        <w:tc>
          <w:tcPr>
            <w:tcW w:w="2154" w:type="dxa"/>
            <w:noWrap w:val="0"/>
            <w:vAlign w:val="top"/>
          </w:tcPr>
          <w:p w14:paraId="36FB8D4B">
            <w:pPr>
              <w:spacing w:line="360" w:lineRule="auto"/>
              <w:rPr>
                <w:rFonts w:hint="eastAsia" w:ascii="宋体" w:hAnsi="宋体"/>
                <w:color w:val="auto"/>
                <w:szCs w:val="21"/>
                <w:highlight w:val="none"/>
              </w:rPr>
            </w:pPr>
          </w:p>
        </w:tc>
        <w:tc>
          <w:tcPr>
            <w:tcW w:w="1171" w:type="dxa"/>
            <w:noWrap w:val="0"/>
            <w:vAlign w:val="top"/>
          </w:tcPr>
          <w:p w14:paraId="5A1A356A">
            <w:pPr>
              <w:spacing w:line="360" w:lineRule="auto"/>
              <w:rPr>
                <w:rFonts w:hint="eastAsia" w:ascii="宋体" w:hAnsi="宋体"/>
                <w:color w:val="auto"/>
                <w:szCs w:val="21"/>
                <w:highlight w:val="none"/>
              </w:rPr>
            </w:pPr>
          </w:p>
        </w:tc>
        <w:tc>
          <w:tcPr>
            <w:tcW w:w="2180" w:type="dxa"/>
            <w:noWrap w:val="0"/>
            <w:vAlign w:val="top"/>
          </w:tcPr>
          <w:p w14:paraId="176242D7">
            <w:pPr>
              <w:spacing w:line="360" w:lineRule="auto"/>
              <w:rPr>
                <w:rFonts w:hint="eastAsia" w:ascii="宋体" w:hAnsi="宋体"/>
                <w:color w:val="auto"/>
                <w:szCs w:val="21"/>
                <w:highlight w:val="none"/>
              </w:rPr>
            </w:pPr>
          </w:p>
        </w:tc>
        <w:tc>
          <w:tcPr>
            <w:tcW w:w="1532" w:type="dxa"/>
            <w:noWrap w:val="0"/>
            <w:vAlign w:val="top"/>
          </w:tcPr>
          <w:p w14:paraId="695EB0BD">
            <w:pPr>
              <w:spacing w:line="360" w:lineRule="auto"/>
              <w:rPr>
                <w:rFonts w:hint="eastAsia" w:ascii="宋体" w:hAnsi="宋体"/>
                <w:color w:val="auto"/>
                <w:szCs w:val="21"/>
                <w:highlight w:val="none"/>
              </w:rPr>
            </w:pPr>
          </w:p>
        </w:tc>
      </w:tr>
      <w:tr w14:paraId="5963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15066011">
            <w:pPr>
              <w:spacing w:line="360" w:lineRule="auto"/>
              <w:rPr>
                <w:rFonts w:hint="eastAsia" w:ascii="宋体" w:hAnsi="宋体"/>
                <w:color w:val="auto"/>
                <w:szCs w:val="21"/>
                <w:highlight w:val="none"/>
              </w:rPr>
            </w:pPr>
            <w:r>
              <w:rPr>
                <w:rFonts w:ascii="宋体" w:hAnsi="宋体"/>
                <w:color w:val="auto"/>
                <w:szCs w:val="21"/>
                <w:highlight w:val="none"/>
              </w:rPr>
              <w:t>…</w:t>
            </w:r>
          </w:p>
        </w:tc>
        <w:tc>
          <w:tcPr>
            <w:tcW w:w="1436" w:type="dxa"/>
            <w:shd w:val="clear" w:color="auto" w:fill="FFFFFF"/>
            <w:noWrap w:val="0"/>
            <w:vAlign w:val="center"/>
          </w:tcPr>
          <w:p w14:paraId="13A690EB">
            <w:pPr>
              <w:spacing w:line="360" w:lineRule="auto"/>
              <w:jc w:val="center"/>
              <w:textAlignment w:val="center"/>
              <w:rPr>
                <w:rFonts w:hint="eastAsia" w:ascii="宋体" w:hAnsi="宋体"/>
                <w:color w:val="auto"/>
                <w:szCs w:val="21"/>
                <w:highlight w:val="none"/>
              </w:rPr>
            </w:pPr>
          </w:p>
        </w:tc>
        <w:tc>
          <w:tcPr>
            <w:tcW w:w="2154" w:type="dxa"/>
            <w:noWrap w:val="0"/>
            <w:vAlign w:val="top"/>
          </w:tcPr>
          <w:p w14:paraId="3070F8FA">
            <w:pPr>
              <w:spacing w:line="360" w:lineRule="auto"/>
              <w:rPr>
                <w:rFonts w:hint="eastAsia" w:ascii="宋体" w:hAnsi="宋体"/>
                <w:color w:val="auto"/>
                <w:szCs w:val="21"/>
                <w:highlight w:val="none"/>
              </w:rPr>
            </w:pPr>
          </w:p>
        </w:tc>
        <w:tc>
          <w:tcPr>
            <w:tcW w:w="1171" w:type="dxa"/>
            <w:noWrap w:val="0"/>
            <w:vAlign w:val="top"/>
          </w:tcPr>
          <w:p w14:paraId="50122AEE">
            <w:pPr>
              <w:spacing w:line="360" w:lineRule="auto"/>
              <w:rPr>
                <w:rFonts w:hint="eastAsia" w:ascii="宋体" w:hAnsi="宋体"/>
                <w:color w:val="auto"/>
                <w:szCs w:val="21"/>
                <w:highlight w:val="none"/>
              </w:rPr>
            </w:pPr>
          </w:p>
        </w:tc>
        <w:tc>
          <w:tcPr>
            <w:tcW w:w="2180" w:type="dxa"/>
            <w:noWrap w:val="0"/>
            <w:vAlign w:val="top"/>
          </w:tcPr>
          <w:p w14:paraId="4B254F12">
            <w:pPr>
              <w:spacing w:line="360" w:lineRule="auto"/>
              <w:rPr>
                <w:rFonts w:hint="eastAsia" w:ascii="宋体" w:hAnsi="宋体"/>
                <w:color w:val="auto"/>
                <w:szCs w:val="21"/>
                <w:highlight w:val="none"/>
              </w:rPr>
            </w:pPr>
          </w:p>
        </w:tc>
        <w:tc>
          <w:tcPr>
            <w:tcW w:w="1532" w:type="dxa"/>
            <w:noWrap w:val="0"/>
            <w:vAlign w:val="top"/>
          </w:tcPr>
          <w:p w14:paraId="52B6C769">
            <w:pPr>
              <w:spacing w:line="360" w:lineRule="auto"/>
              <w:rPr>
                <w:rFonts w:hint="eastAsia" w:ascii="宋体" w:hAnsi="宋体"/>
                <w:color w:val="auto"/>
                <w:szCs w:val="21"/>
                <w:highlight w:val="none"/>
              </w:rPr>
            </w:pPr>
          </w:p>
        </w:tc>
      </w:tr>
    </w:tbl>
    <w:p w14:paraId="46FAD6BA">
      <w:pPr>
        <w:spacing w:line="480" w:lineRule="auto"/>
        <w:rPr>
          <w:rFonts w:hint="eastAsia" w:ascii="宋体" w:hAnsi="宋体"/>
          <w:color w:val="auto"/>
          <w:sz w:val="24"/>
          <w:highlight w:val="none"/>
        </w:rPr>
      </w:pPr>
    </w:p>
    <w:p w14:paraId="4F16875D">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投标供应商： </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BE51539">
      <w:pPr>
        <w:spacing w:line="480" w:lineRule="auto"/>
        <w:ind w:firstLine="480" w:firstLineChars="200"/>
        <w:jc w:val="right"/>
        <w:rPr>
          <w:rFonts w:hint="eastAsia" w:ascii="宋体" w:hAnsi="宋体"/>
          <w:b/>
          <w:color w:val="auto"/>
          <w:sz w:val="30"/>
          <w:szCs w:val="30"/>
          <w:highlight w:val="none"/>
        </w:rPr>
      </w:pPr>
      <w:r>
        <w:rPr>
          <w:rFonts w:hint="eastAsia" w:ascii="宋体" w:hAnsi="宋体"/>
          <w:color w:val="auto"/>
          <w:sz w:val="24"/>
          <w:highlight w:val="none"/>
        </w:rPr>
        <w:t xml:space="preserve"> 日 期： 年  月  日</w:t>
      </w:r>
    </w:p>
    <w:p w14:paraId="2972A237">
      <w:pPr>
        <w:pStyle w:val="26"/>
        <w:ind w:firstLine="0" w:firstLineChars="0"/>
        <w:rPr>
          <w:rFonts w:hint="eastAsia" w:hAnsi="宋体"/>
          <w:b/>
          <w:color w:val="auto"/>
          <w:sz w:val="24"/>
          <w:highlight w:val="none"/>
        </w:rPr>
      </w:pPr>
    </w:p>
    <w:p w14:paraId="653C18FE">
      <w:pPr>
        <w:pStyle w:val="22"/>
        <w:ind w:left="482" w:hanging="482"/>
        <w:rPr>
          <w:rFonts w:hint="eastAsia" w:hAnsi="宋体"/>
          <w:b/>
          <w:color w:val="auto"/>
          <w:sz w:val="24"/>
          <w:highlight w:val="none"/>
        </w:rPr>
      </w:pPr>
    </w:p>
    <w:p w14:paraId="6E445CCE">
      <w:pPr>
        <w:rPr>
          <w:rFonts w:hint="eastAsia" w:hAnsi="宋体"/>
          <w:b/>
          <w:color w:val="auto"/>
          <w:sz w:val="24"/>
          <w:highlight w:val="none"/>
        </w:rPr>
      </w:pPr>
    </w:p>
    <w:p w14:paraId="092E98A1">
      <w:pPr>
        <w:pStyle w:val="8"/>
        <w:rPr>
          <w:rFonts w:hint="eastAsia"/>
          <w:color w:val="auto"/>
          <w:highlight w:val="none"/>
        </w:rPr>
      </w:pPr>
    </w:p>
    <w:p w14:paraId="05828E92">
      <w:pPr>
        <w:pStyle w:val="26"/>
        <w:ind w:firstLine="6104" w:firstLineChars="1900"/>
        <w:jc w:val="right"/>
        <w:rPr>
          <w:color w:val="auto"/>
          <w:highlight w:val="none"/>
        </w:rPr>
      </w:pPr>
      <w:r>
        <w:rPr>
          <w:rFonts w:hint="eastAsia"/>
          <w:b/>
          <w:bCs/>
          <w:color w:val="auto"/>
          <w:sz w:val="32"/>
          <w:szCs w:val="21"/>
          <w:highlight w:val="none"/>
        </w:rPr>
        <w:t>正本/副本</w:t>
      </w:r>
    </w:p>
    <w:p w14:paraId="50408830">
      <w:pPr>
        <w:rPr>
          <w:rFonts w:hint="eastAsia"/>
          <w:color w:val="auto"/>
          <w:highlight w:val="none"/>
        </w:rPr>
      </w:pPr>
    </w:p>
    <w:p w14:paraId="048CD817">
      <w:pPr>
        <w:rPr>
          <w:rFonts w:hint="eastAsia" w:ascii="宋体"/>
          <w:color w:val="auto"/>
          <w:sz w:val="20"/>
          <w:highlight w:val="none"/>
        </w:rPr>
      </w:pPr>
    </w:p>
    <w:p w14:paraId="23EEF31D">
      <w:pPr>
        <w:jc w:val="center"/>
        <w:outlineLvl w:val="1"/>
        <w:rPr>
          <w:rFonts w:hint="eastAsia" w:ascii="宋体"/>
          <w:b/>
          <w:color w:val="auto"/>
          <w:sz w:val="44"/>
          <w:szCs w:val="44"/>
          <w:highlight w:val="none"/>
        </w:rPr>
      </w:pPr>
      <w:bookmarkStart w:id="435" w:name="_Toc469495746"/>
      <w:bookmarkStart w:id="436" w:name="_Toc5879"/>
      <w:bookmarkStart w:id="437" w:name="_Toc26668"/>
      <w:r>
        <w:rPr>
          <w:rFonts w:hint="eastAsia" w:ascii="宋体"/>
          <w:b/>
          <w:color w:val="auto"/>
          <w:sz w:val="44"/>
          <w:szCs w:val="44"/>
          <w:highlight w:val="none"/>
        </w:rPr>
        <w:t>商务标</w:t>
      </w:r>
      <w:bookmarkEnd w:id="435"/>
      <w:bookmarkEnd w:id="436"/>
      <w:bookmarkEnd w:id="437"/>
    </w:p>
    <w:p w14:paraId="7AD00C50">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投标文件二）</w:t>
      </w:r>
    </w:p>
    <w:p w14:paraId="3244CB32">
      <w:pPr>
        <w:jc w:val="center"/>
        <w:rPr>
          <w:rFonts w:hint="eastAsia" w:ascii="宋体"/>
          <w:color w:val="auto"/>
          <w:sz w:val="36"/>
          <w:szCs w:val="36"/>
          <w:highlight w:val="none"/>
        </w:rPr>
      </w:pPr>
    </w:p>
    <w:p w14:paraId="78B7CCCF">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项目名称</w:t>
      </w:r>
      <w:r>
        <w:rPr>
          <w:rFonts w:hint="eastAsia" w:ascii="宋体" w:hAnsi="宋体"/>
          <w:color w:val="auto"/>
          <w:sz w:val="32"/>
          <w:szCs w:val="32"/>
          <w:highlight w:val="none"/>
        </w:rPr>
        <w:t xml:space="preserve"> </w:t>
      </w:r>
    </w:p>
    <w:p w14:paraId="70190938">
      <w:pPr>
        <w:ind w:firstLine="3360" w:firstLineChars="1200"/>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267A80E">
      <w:pPr>
        <w:rPr>
          <w:rFonts w:hint="eastAsia" w:ascii="宋体"/>
          <w:color w:val="auto"/>
          <w:sz w:val="28"/>
          <w:szCs w:val="28"/>
          <w:highlight w:val="none"/>
        </w:rPr>
      </w:pPr>
    </w:p>
    <w:p w14:paraId="47EF3D51">
      <w:pPr>
        <w:rPr>
          <w:rFonts w:hint="eastAsia" w:ascii="宋体"/>
          <w:color w:val="auto"/>
          <w:sz w:val="28"/>
          <w:szCs w:val="28"/>
          <w:highlight w:val="none"/>
        </w:rPr>
      </w:pPr>
    </w:p>
    <w:p w14:paraId="0DE7C140">
      <w:pPr>
        <w:rPr>
          <w:rFonts w:hint="eastAsia" w:ascii="宋体"/>
          <w:color w:val="auto"/>
          <w:sz w:val="28"/>
          <w:szCs w:val="28"/>
          <w:highlight w:val="none"/>
        </w:rPr>
      </w:pPr>
    </w:p>
    <w:p w14:paraId="102B2CA7">
      <w:pPr>
        <w:rPr>
          <w:rFonts w:hint="eastAsia" w:ascii="宋体"/>
          <w:color w:val="auto"/>
          <w:sz w:val="28"/>
          <w:szCs w:val="28"/>
          <w:highlight w:val="none"/>
        </w:rPr>
      </w:pPr>
    </w:p>
    <w:p w14:paraId="7C1409FA">
      <w:pPr>
        <w:rPr>
          <w:rFonts w:hint="eastAsia" w:ascii="宋体"/>
          <w:color w:val="auto"/>
          <w:sz w:val="28"/>
          <w:szCs w:val="28"/>
          <w:highlight w:val="none"/>
        </w:rPr>
      </w:pPr>
    </w:p>
    <w:p w14:paraId="39BBB725">
      <w:pPr>
        <w:rPr>
          <w:rFonts w:hint="eastAsia" w:ascii="宋体"/>
          <w:color w:val="auto"/>
          <w:sz w:val="28"/>
          <w:szCs w:val="28"/>
          <w:highlight w:val="none"/>
        </w:rPr>
      </w:pPr>
    </w:p>
    <w:p w14:paraId="37F37EA2">
      <w:pPr>
        <w:rPr>
          <w:rFonts w:hint="eastAsia" w:ascii="宋体"/>
          <w:color w:val="auto"/>
          <w:sz w:val="28"/>
          <w:szCs w:val="28"/>
          <w:highlight w:val="none"/>
        </w:rPr>
      </w:pPr>
    </w:p>
    <w:p w14:paraId="124D7761">
      <w:pPr>
        <w:pStyle w:val="8"/>
        <w:rPr>
          <w:rFonts w:hint="eastAsia"/>
          <w:color w:val="auto"/>
          <w:highlight w:val="none"/>
        </w:rPr>
      </w:pPr>
    </w:p>
    <w:p w14:paraId="7D0FAD39">
      <w:pPr>
        <w:rPr>
          <w:rFonts w:hint="eastAsia" w:ascii="宋体"/>
          <w:color w:val="auto"/>
          <w:sz w:val="28"/>
          <w:szCs w:val="28"/>
          <w:highlight w:val="none"/>
        </w:rPr>
      </w:pPr>
    </w:p>
    <w:p w14:paraId="06DD424F">
      <w:pPr>
        <w:jc w:val="center"/>
        <w:rPr>
          <w:rFonts w:hint="eastAsia" w:ascii="宋体"/>
          <w:color w:val="auto"/>
          <w:sz w:val="28"/>
          <w:szCs w:val="28"/>
          <w:highlight w:val="none"/>
          <w:u w:val="single"/>
        </w:rPr>
      </w:pPr>
      <w:r>
        <w:rPr>
          <w:rFonts w:hint="eastAsia" w:ascii="宋体"/>
          <w:color w:val="auto"/>
          <w:sz w:val="28"/>
          <w:szCs w:val="28"/>
          <w:highlight w:val="none"/>
        </w:rPr>
        <w:t>投标供应商：</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5DD41DBE">
      <w:pPr>
        <w:jc w:val="center"/>
        <w:rPr>
          <w:rFonts w:hint="eastAsia" w:ascii="宋体"/>
          <w:color w:val="auto"/>
          <w:sz w:val="28"/>
          <w:szCs w:val="28"/>
          <w:highlight w:val="none"/>
        </w:rPr>
      </w:pPr>
      <w:r>
        <w:rPr>
          <w:rFonts w:hint="eastAsia" w:ascii="宋体"/>
          <w:color w:val="auto"/>
          <w:sz w:val="28"/>
          <w:szCs w:val="28"/>
          <w:highlight w:val="none"/>
        </w:rPr>
        <w:t>法定代表人或委托代理人：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53557BF4">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A60D728">
      <w:pPr>
        <w:pStyle w:val="26"/>
        <w:ind w:firstLine="562"/>
        <w:rPr>
          <w:rFonts w:hint="eastAsia" w:hAnsi="宋体" w:cs="宋体"/>
          <w:b/>
          <w:bCs/>
          <w:color w:val="auto"/>
          <w:szCs w:val="28"/>
          <w:highlight w:val="none"/>
        </w:rPr>
      </w:pPr>
    </w:p>
    <w:p w14:paraId="1337CE6C">
      <w:pPr>
        <w:rPr>
          <w:rFonts w:hint="eastAsia" w:hAnsi="宋体" w:cs="宋体"/>
          <w:b/>
          <w:bCs/>
          <w:color w:val="auto"/>
          <w:szCs w:val="28"/>
          <w:highlight w:val="none"/>
        </w:rPr>
      </w:pPr>
    </w:p>
    <w:p w14:paraId="41A98ECF">
      <w:pPr>
        <w:spacing w:before="162" w:beforeLines="50" w:after="162" w:afterLines="50"/>
        <w:jc w:val="center"/>
        <w:rPr>
          <w:rFonts w:hint="eastAsia" w:ascii="宋体"/>
          <w:b/>
          <w:bCs/>
          <w:color w:val="auto"/>
          <w:sz w:val="32"/>
          <w:szCs w:val="32"/>
          <w:highlight w:val="none"/>
        </w:rPr>
      </w:pPr>
    </w:p>
    <w:p w14:paraId="4CD8EBBE">
      <w:pPr>
        <w:spacing w:before="162" w:beforeLines="50" w:after="162" w:afterLines="50"/>
        <w:jc w:val="center"/>
        <w:rPr>
          <w:rFonts w:hint="eastAsia" w:ascii="宋体"/>
          <w:b/>
          <w:bCs/>
          <w:color w:val="auto"/>
          <w:sz w:val="32"/>
          <w:szCs w:val="32"/>
          <w:highlight w:val="none"/>
        </w:rPr>
      </w:pPr>
      <w:r>
        <w:rPr>
          <w:rFonts w:hint="eastAsia" w:ascii="宋体"/>
          <w:b/>
          <w:bCs/>
          <w:color w:val="auto"/>
          <w:sz w:val="32"/>
          <w:szCs w:val="32"/>
          <w:highlight w:val="none"/>
        </w:rPr>
        <w:t>目  录</w:t>
      </w:r>
    </w:p>
    <w:p w14:paraId="6A499FC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（1）开标一览表（格式见附件）；</w:t>
      </w:r>
    </w:p>
    <w:p w14:paraId="04399E9D">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（2）投标函（格式见附件）；</w:t>
      </w:r>
    </w:p>
    <w:p w14:paraId="216E5F85">
      <w:pPr>
        <w:spacing w:line="440" w:lineRule="exact"/>
        <w:ind w:firstLine="420" w:firstLineChars="200"/>
        <w:rPr>
          <w:rFonts w:hint="eastAsia" w:ascii="宋体" w:hAnsi="宋体" w:cs="宋体"/>
          <w:bCs/>
          <w:color w:val="auto"/>
          <w:szCs w:val="21"/>
          <w:highlight w:val="none"/>
        </w:rPr>
      </w:pPr>
    </w:p>
    <w:p w14:paraId="4C6F3324">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以上材料须按顺序装订，复印件均须加盖供应商公章。供应商所提交的商务标文件的完整与否，直接影响供应商的评审。</w:t>
      </w:r>
    </w:p>
    <w:p w14:paraId="01D232D2">
      <w:pPr>
        <w:rPr>
          <w:rFonts w:hint="eastAsia"/>
          <w:color w:val="auto"/>
          <w:highlight w:val="none"/>
        </w:rPr>
      </w:pPr>
    </w:p>
    <w:p w14:paraId="3375DD99">
      <w:pPr>
        <w:pStyle w:val="26"/>
        <w:ind w:firstLine="560"/>
        <w:rPr>
          <w:rFonts w:hint="eastAsia"/>
          <w:color w:val="auto"/>
          <w:highlight w:val="none"/>
        </w:rPr>
      </w:pPr>
    </w:p>
    <w:p w14:paraId="6417D65C">
      <w:pPr>
        <w:rPr>
          <w:rFonts w:hint="eastAsia"/>
          <w:color w:val="auto"/>
          <w:highlight w:val="none"/>
        </w:rPr>
      </w:pPr>
    </w:p>
    <w:p w14:paraId="45475E06">
      <w:pPr>
        <w:pStyle w:val="26"/>
        <w:ind w:firstLine="560"/>
        <w:rPr>
          <w:rFonts w:hint="eastAsia"/>
          <w:color w:val="auto"/>
          <w:highlight w:val="none"/>
        </w:rPr>
      </w:pPr>
    </w:p>
    <w:p w14:paraId="6B4EB800">
      <w:pPr>
        <w:rPr>
          <w:rFonts w:hint="eastAsia"/>
          <w:color w:val="auto"/>
          <w:highlight w:val="none"/>
        </w:rPr>
      </w:pPr>
    </w:p>
    <w:p w14:paraId="641A9368">
      <w:pPr>
        <w:pStyle w:val="3"/>
        <w:outlineLvl w:val="9"/>
        <w:rPr>
          <w:rFonts w:hint="eastAsia"/>
          <w:color w:val="auto"/>
          <w:highlight w:val="none"/>
        </w:rPr>
      </w:pPr>
    </w:p>
    <w:p w14:paraId="2174C813">
      <w:pPr>
        <w:rPr>
          <w:rFonts w:hint="eastAsia"/>
          <w:color w:val="auto"/>
          <w:highlight w:val="none"/>
        </w:rPr>
      </w:pPr>
    </w:p>
    <w:p w14:paraId="3A5F3975">
      <w:pPr>
        <w:pStyle w:val="3"/>
        <w:outlineLvl w:val="9"/>
        <w:rPr>
          <w:rFonts w:hint="eastAsia"/>
          <w:color w:val="auto"/>
          <w:highlight w:val="none"/>
        </w:rPr>
      </w:pPr>
    </w:p>
    <w:p w14:paraId="5E589F46">
      <w:pPr>
        <w:rPr>
          <w:rFonts w:hint="eastAsia"/>
          <w:color w:val="auto"/>
          <w:highlight w:val="none"/>
        </w:rPr>
      </w:pPr>
    </w:p>
    <w:p w14:paraId="68D17694">
      <w:pPr>
        <w:pStyle w:val="3"/>
        <w:outlineLvl w:val="9"/>
        <w:rPr>
          <w:rFonts w:hint="eastAsia"/>
          <w:color w:val="auto"/>
          <w:highlight w:val="none"/>
        </w:rPr>
      </w:pPr>
    </w:p>
    <w:p w14:paraId="219044BD">
      <w:pPr>
        <w:rPr>
          <w:rFonts w:hint="eastAsia"/>
          <w:color w:val="auto"/>
          <w:highlight w:val="none"/>
        </w:rPr>
      </w:pPr>
    </w:p>
    <w:p w14:paraId="51B726FC">
      <w:pPr>
        <w:pStyle w:val="3"/>
        <w:outlineLvl w:val="9"/>
        <w:rPr>
          <w:rFonts w:hint="eastAsia"/>
          <w:color w:val="auto"/>
          <w:highlight w:val="none"/>
        </w:rPr>
      </w:pPr>
    </w:p>
    <w:p w14:paraId="1DC8EF68">
      <w:pPr>
        <w:rPr>
          <w:rFonts w:hint="eastAsia"/>
          <w:color w:val="auto"/>
          <w:highlight w:val="none"/>
        </w:rPr>
      </w:pPr>
    </w:p>
    <w:p w14:paraId="442CE080">
      <w:pPr>
        <w:rPr>
          <w:rFonts w:hint="eastAsia"/>
          <w:color w:val="auto"/>
          <w:highlight w:val="none"/>
        </w:rPr>
      </w:pPr>
    </w:p>
    <w:p w14:paraId="24767A9F">
      <w:pPr>
        <w:pStyle w:val="26"/>
        <w:ind w:firstLine="560"/>
        <w:rPr>
          <w:rFonts w:hint="eastAsia"/>
          <w:color w:val="auto"/>
          <w:highlight w:val="none"/>
        </w:rPr>
      </w:pPr>
    </w:p>
    <w:p w14:paraId="310F96B0">
      <w:pPr>
        <w:pStyle w:val="26"/>
        <w:ind w:firstLine="560"/>
        <w:rPr>
          <w:rFonts w:hint="eastAsia"/>
          <w:color w:val="auto"/>
          <w:highlight w:val="none"/>
        </w:rPr>
      </w:pPr>
    </w:p>
    <w:p w14:paraId="3B4E4F38">
      <w:pPr>
        <w:pStyle w:val="26"/>
        <w:ind w:firstLine="560"/>
        <w:rPr>
          <w:rFonts w:hint="eastAsia"/>
          <w:color w:val="auto"/>
          <w:highlight w:val="none"/>
        </w:rPr>
      </w:pPr>
    </w:p>
    <w:p w14:paraId="2FF6A149">
      <w:pPr>
        <w:rPr>
          <w:rFonts w:hint="eastAsia"/>
          <w:color w:val="auto"/>
          <w:highlight w:val="none"/>
        </w:rPr>
      </w:pPr>
    </w:p>
    <w:p w14:paraId="0EC281CD">
      <w:pPr>
        <w:pStyle w:val="22"/>
        <w:ind w:left="420" w:hanging="420"/>
        <w:rPr>
          <w:rFonts w:hint="eastAsia"/>
          <w:color w:val="auto"/>
          <w:highlight w:val="none"/>
        </w:rPr>
      </w:pPr>
    </w:p>
    <w:p w14:paraId="37D5DAD9">
      <w:pPr>
        <w:widowControl/>
        <w:spacing w:line="360" w:lineRule="exact"/>
        <w:jc w:val="center"/>
        <w:textAlignment w:val="baseline"/>
        <w:rPr>
          <w:rFonts w:hint="eastAsia" w:ascii="宋体"/>
          <w:b/>
          <w:color w:val="auto"/>
          <w:kern w:val="0"/>
          <w:sz w:val="32"/>
          <w:szCs w:val="32"/>
          <w:highlight w:val="none"/>
          <w:u w:val="none" w:color="000000"/>
        </w:rPr>
      </w:pPr>
      <w:r>
        <w:rPr>
          <w:rFonts w:hint="eastAsia" w:ascii="宋体"/>
          <w:b/>
          <w:color w:val="auto"/>
          <w:kern w:val="0"/>
          <w:sz w:val="32"/>
          <w:szCs w:val="32"/>
          <w:highlight w:val="none"/>
          <w:u w:val="none" w:color="000000"/>
        </w:rPr>
        <w:t>开标一览表</w:t>
      </w:r>
    </w:p>
    <w:p w14:paraId="09DC2BB5">
      <w:pPr>
        <w:snapToGrid w:val="0"/>
        <w:spacing w:line="460" w:lineRule="exact"/>
        <w:textAlignment w:val="baseline"/>
        <w:rPr>
          <w:rFonts w:hint="eastAsia" w:ascii="宋体"/>
          <w:color w:val="auto"/>
          <w:kern w:val="0"/>
          <w:sz w:val="24"/>
          <w:highlight w:val="none"/>
          <w:u w:val="none" w:color="000000"/>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6FC1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exact"/>
          <w:jc w:val="center"/>
        </w:trPr>
        <w:tc>
          <w:tcPr>
            <w:tcW w:w="1812" w:type="dxa"/>
            <w:noWrap w:val="0"/>
            <w:vAlign w:val="center"/>
          </w:tcPr>
          <w:p w14:paraId="702ACD86">
            <w:pPr>
              <w:widowControl/>
              <w:spacing w:line="460" w:lineRule="exact"/>
              <w:jc w:val="center"/>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项目名称</w:t>
            </w:r>
          </w:p>
        </w:tc>
        <w:tc>
          <w:tcPr>
            <w:tcW w:w="7836" w:type="dxa"/>
            <w:noWrap w:val="0"/>
            <w:vAlign w:val="center"/>
          </w:tcPr>
          <w:p w14:paraId="59E0D6E7">
            <w:pPr>
              <w:widowControl/>
              <w:spacing w:line="360" w:lineRule="auto"/>
              <w:jc w:val="center"/>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滁州学院2024年档案管理系统采购（一期）</w:t>
            </w:r>
          </w:p>
        </w:tc>
      </w:tr>
      <w:tr w14:paraId="59F9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exact"/>
          <w:jc w:val="center"/>
        </w:trPr>
        <w:tc>
          <w:tcPr>
            <w:tcW w:w="1812" w:type="dxa"/>
            <w:noWrap w:val="0"/>
            <w:vAlign w:val="center"/>
          </w:tcPr>
          <w:p w14:paraId="18ED6E6F">
            <w:pPr>
              <w:widowControl/>
              <w:spacing w:line="460" w:lineRule="exact"/>
              <w:jc w:val="center"/>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项目编号</w:t>
            </w:r>
          </w:p>
        </w:tc>
        <w:tc>
          <w:tcPr>
            <w:tcW w:w="7836" w:type="dxa"/>
            <w:noWrap w:val="0"/>
            <w:vAlign w:val="center"/>
          </w:tcPr>
          <w:p w14:paraId="7D8C6139">
            <w:pPr>
              <w:widowControl/>
              <w:spacing w:line="357" w:lineRule="atLeast"/>
              <w:jc w:val="center"/>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2024CG-037</w:t>
            </w:r>
          </w:p>
        </w:tc>
      </w:tr>
      <w:tr w14:paraId="3A6E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jc w:val="center"/>
        </w:trPr>
        <w:tc>
          <w:tcPr>
            <w:tcW w:w="1812" w:type="dxa"/>
            <w:noWrap w:val="0"/>
            <w:vAlign w:val="center"/>
          </w:tcPr>
          <w:p w14:paraId="452A3A8E">
            <w:pPr>
              <w:widowControl/>
              <w:spacing w:line="460" w:lineRule="exact"/>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投标供应商名称</w:t>
            </w:r>
          </w:p>
        </w:tc>
        <w:tc>
          <w:tcPr>
            <w:tcW w:w="7836" w:type="dxa"/>
            <w:noWrap w:val="0"/>
            <w:vAlign w:val="top"/>
          </w:tcPr>
          <w:p w14:paraId="2571E310">
            <w:pPr>
              <w:spacing w:line="460" w:lineRule="exact"/>
              <w:ind w:left="86" w:leftChars="41"/>
              <w:rPr>
                <w:rFonts w:hint="eastAsia" w:ascii="宋体" w:hAnsi="宋体" w:eastAsia="宋体" w:cs="宋体"/>
                <w:color w:val="auto"/>
                <w:sz w:val="28"/>
                <w:szCs w:val="28"/>
                <w:highlight w:val="none"/>
                <w:u w:val="none" w:color="000000"/>
              </w:rPr>
            </w:pPr>
          </w:p>
        </w:tc>
      </w:tr>
      <w:tr w14:paraId="449B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5" w:hRule="exact"/>
          <w:jc w:val="center"/>
        </w:trPr>
        <w:tc>
          <w:tcPr>
            <w:tcW w:w="1812" w:type="dxa"/>
            <w:noWrap w:val="0"/>
            <w:vAlign w:val="center"/>
          </w:tcPr>
          <w:p w14:paraId="44C7DBD3">
            <w:pPr>
              <w:widowControl/>
              <w:spacing w:line="360" w:lineRule="auto"/>
              <w:jc w:val="center"/>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总投标价\供货期限</w:t>
            </w:r>
          </w:p>
        </w:tc>
        <w:tc>
          <w:tcPr>
            <w:tcW w:w="7836" w:type="dxa"/>
            <w:noWrap w:val="0"/>
            <w:vAlign w:val="center"/>
          </w:tcPr>
          <w:p w14:paraId="3D481DB8">
            <w:pPr>
              <w:widowControl/>
              <w:spacing w:line="360" w:lineRule="auto"/>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none" w:color="000000"/>
              </w:rPr>
              <w:t>总投标价 （大写）：</w:t>
            </w:r>
            <w:r>
              <w:rPr>
                <w:rFonts w:hint="eastAsia" w:ascii="宋体" w:hAnsi="宋体" w:eastAsia="宋体" w:cs="宋体"/>
                <w:color w:val="auto"/>
                <w:kern w:val="0"/>
                <w:sz w:val="28"/>
                <w:szCs w:val="28"/>
                <w:highlight w:val="none"/>
                <w:u w:val="single" w:color="000000"/>
              </w:rPr>
              <w:t xml:space="preserve">                    </w:t>
            </w:r>
            <w:r>
              <w:rPr>
                <w:rFonts w:hint="eastAsia" w:ascii="宋体" w:hAnsi="宋体" w:eastAsia="宋体" w:cs="宋体"/>
                <w:color w:val="auto"/>
                <w:kern w:val="0"/>
                <w:sz w:val="28"/>
                <w:szCs w:val="28"/>
                <w:highlight w:val="none"/>
              </w:rPr>
              <w:t xml:space="preserve">元 </w:t>
            </w:r>
          </w:p>
          <w:p w14:paraId="30A3E70F">
            <w:pPr>
              <w:widowControl/>
              <w:spacing w:line="360" w:lineRule="auto"/>
              <w:ind w:firstLine="1260" w:firstLineChars="45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none" w:color="000000"/>
              </w:rPr>
              <w:t xml:space="preserve"> （小写） ：</w:t>
            </w:r>
            <w:r>
              <w:rPr>
                <w:rFonts w:hint="eastAsia" w:ascii="宋体" w:hAnsi="宋体" w:eastAsia="宋体" w:cs="宋体"/>
                <w:color w:val="auto"/>
                <w:kern w:val="0"/>
                <w:sz w:val="28"/>
                <w:szCs w:val="28"/>
                <w:highlight w:val="none"/>
                <w:u w:val="single" w:color="000000"/>
              </w:rPr>
              <w:t xml:space="preserve">                    </w:t>
            </w:r>
            <w:r>
              <w:rPr>
                <w:rFonts w:hint="eastAsia" w:ascii="宋体" w:hAnsi="宋体" w:eastAsia="宋体" w:cs="宋体"/>
                <w:color w:val="auto"/>
                <w:kern w:val="0"/>
                <w:sz w:val="28"/>
                <w:szCs w:val="28"/>
                <w:highlight w:val="none"/>
              </w:rPr>
              <w:t xml:space="preserve">元 </w:t>
            </w:r>
          </w:p>
          <w:p w14:paraId="7DFDE5AF">
            <w:pPr>
              <w:widowControl/>
              <w:spacing w:line="360" w:lineRule="auto"/>
              <w:textAlignment w:val="baseline"/>
              <w:rPr>
                <w:rFonts w:hint="eastAsia" w:ascii="宋体" w:hAnsi="宋体" w:eastAsia="宋体" w:cs="宋体"/>
                <w:color w:val="auto"/>
                <w:kern w:val="0"/>
                <w:sz w:val="28"/>
                <w:szCs w:val="28"/>
                <w:highlight w:val="none"/>
                <w:u w:val="none" w:color="000000"/>
              </w:rPr>
            </w:pPr>
          </w:p>
          <w:p w14:paraId="5D2D2451">
            <w:pPr>
              <w:widowControl/>
              <w:spacing w:line="360" w:lineRule="auto"/>
              <w:textAlignment w:val="baseline"/>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供货期限：         。</w:t>
            </w:r>
          </w:p>
        </w:tc>
      </w:tr>
    </w:tbl>
    <w:p w14:paraId="706CE205">
      <w:pPr>
        <w:snapToGrid w:val="0"/>
        <w:spacing w:line="460" w:lineRule="exact"/>
        <w:ind w:left="2940" w:leftChars="1400" w:firstLine="723" w:firstLineChars="300"/>
        <w:textAlignment w:val="baseline"/>
        <w:rPr>
          <w:rFonts w:hint="eastAsia" w:ascii="宋体"/>
          <w:b/>
          <w:color w:val="auto"/>
          <w:kern w:val="0"/>
          <w:sz w:val="24"/>
          <w:highlight w:val="none"/>
          <w:u w:val="none" w:color="000000"/>
        </w:rPr>
      </w:pPr>
    </w:p>
    <w:p w14:paraId="4AC8639E">
      <w:pPr>
        <w:snapToGrid w:val="0"/>
        <w:spacing w:line="460" w:lineRule="exact"/>
        <w:ind w:left="2940" w:leftChars="1400" w:firstLine="723" w:firstLineChars="300"/>
        <w:textAlignment w:val="baseline"/>
        <w:rPr>
          <w:rFonts w:hint="eastAsia" w:ascii="宋体"/>
          <w:b/>
          <w:color w:val="auto"/>
          <w:kern w:val="0"/>
          <w:sz w:val="24"/>
          <w:highlight w:val="none"/>
          <w:u w:val="none" w:color="000000"/>
        </w:rPr>
      </w:pPr>
    </w:p>
    <w:p w14:paraId="129A8258">
      <w:pPr>
        <w:snapToGrid w:val="0"/>
        <w:spacing w:line="460" w:lineRule="exact"/>
        <w:ind w:left="2940" w:leftChars="1400" w:firstLine="723" w:firstLineChars="300"/>
        <w:textAlignment w:val="baseline"/>
        <w:rPr>
          <w:rFonts w:hint="eastAsia" w:ascii="宋体"/>
          <w:b/>
          <w:color w:val="auto"/>
          <w:kern w:val="0"/>
          <w:sz w:val="24"/>
          <w:highlight w:val="none"/>
          <w:u w:val="none" w:color="000000"/>
        </w:rPr>
      </w:pPr>
    </w:p>
    <w:p w14:paraId="1D21CD6F">
      <w:pPr>
        <w:widowControl/>
        <w:spacing w:line="357" w:lineRule="atLeast"/>
        <w:textAlignment w:val="baseline"/>
        <w:rPr>
          <w:rFonts w:hint="eastAsia" w:ascii="宋体"/>
          <w:color w:val="auto"/>
          <w:kern w:val="0"/>
          <w:sz w:val="24"/>
          <w:highlight w:val="none"/>
          <w:u w:val="none" w:color="000000"/>
        </w:rPr>
      </w:pPr>
      <w:r>
        <w:rPr>
          <w:rFonts w:hint="eastAsia" w:ascii="宋体"/>
          <w:color w:val="auto"/>
          <w:kern w:val="0"/>
          <w:sz w:val="24"/>
          <w:highlight w:val="none"/>
          <w:u w:val="none" w:color="000000"/>
        </w:rPr>
        <w:t>法定代表人或委托代理人（签字或盖章）：</w:t>
      </w:r>
    </w:p>
    <w:p w14:paraId="1F2F4D8C">
      <w:pPr>
        <w:widowControl/>
        <w:spacing w:line="357" w:lineRule="atLeast"/>
        <w:textAlignment w:val="baseline"/>
        <w:rPr>
          <w:rFonts w:hint="eastAsia" w:ascii="宋体"/>
          <w:color w:val="auto"/>
          <w:kern w:val="0"/>
          <w:sz w:val="24"/>
          <w:highlight w:val="none"/>
          <w:u w:val="none" w:color="000000"/>
        </w:rPr>
      </w:pPr>
      <w:r>
        <w:rPr>
          <w:rFonts w:hint="eastAsia" w:ascii="宋体"/>
          <w:color w:val="auto"/>
          <w:kern w:val="0"/>
          <w:sz w:val="24"/>
          <w:highlight w:val="none"/>
          <w:u w:val="none" w:color="000000"/>
        </w:rPr>
        <w:t xml:space="preserve">                    </w:t>
      </w:r>
    </w:p>
    <w:p w14:paraId="3A56768B">
      <w:pPr>
        <w:widowControl/>
        <w:spacing w:line="357" w:lineRule="atLeast"/>
        <w:textAlignment w:val="baseline"/>
        <w:rPr>
          <w:rFonts w:hint="eastAsia" w:ascii="宋体"/>
          <w:color w:val="auto"/>
          <w:kern w:val="0"/>
          <w:sz w:val="24"/>
          <w:highlight w:val="none"/>
          <w:u w:val="none" w:color="000000"/>
        </w:rPr>
      </w:pPr>
      <w:r>
        <w:rPr>
          <w:rFonts w:hint="eastAsia" w:ascii="宋体"/>
          <w:color w:val="auto"/>
          <w:kern w:val="0"/>
          <w:sz w:val="24"/>
          <w:highlight w:val="none"/>
          <w:u w:val="none" w:color="000000"/>
        </w:rPr>
        <w:t>投标供应商（盖单位章）：</w:t>
      </w:r>
    </w:p>
    <w:p w14:paraId="5CCEEA37">
      <w:pPr>
        <w:widowControl/>
        <w:spacing w:line="357" w:lineRule="atLeast"/>
        <w:textAlignment w:val="baseline"/>
        <w:rPr>
          <w:rFonts w:hint="eastAsia" w:ascii="宋体"/>
          <w:color w:val="auto"/>
          <w:kern w:val="0"/>
          <w:sz w:val="24"/>
          <w:highlight w:val="none"/>
          <w:u w:val="none" w:color="000000"/>
        </w:rPr>
      </w:pPr>
      <w:r>
        <w:rPr>
          <w:rFonts w:hint="eastAsia" w:ascii="宋体"/>
          <w:color w:val="auto"/>
          <w:kern w:val="0"/>
          <w:sz w:val="24"/>
          <w:highlight w:val="none"/>
          <w:u w:val="none" w:color="000000"/>
        </w:rPr>
        <w:t xml:space="preserve">                               </w:t>
      </w:r>
    </w:p>
    <w:p w14:paraId="5DC55D0F">
      <w:pPr>
        <w:snapToGrid w:val="0"/>
        <w:spacing w:before="324" w:beforeLines="100" w:after="324" w:afterLines="100" w:line="360" w:lineRule="auto"/>
        <w:jc w:val="center"/>
        <w:textAlignment w:val="baseline"/>
        <w:rPr>
          <w:rFonts w:hint="eastAsia" w:ascii="宋体"/>
          <w:color w:val="auto"/>
          <w:kern w:val="0"/>
          <w:sz w:val="24"/>
          <w:highlight w:val="none"/>
          <w:u w:val="none" w:color="000000"/>
        </w:rPr>
      </w:pPr>
      <w:r>
        <w:rPr>
          <w:rFonts w:hint="eastAsia" w:ascii="宋体"/>
          <w:color w:val="auto"/>
          <w:kern w:val="0"/>
          <w:sz w:val="24"/>
          <w:highlight w:val="none"/>
          <w:u w:val="none" w:color="000000"/>
        </w:rPr>
        <w:t xml:space="preserve">                                           日  期：    年  月  日 </w:t>
      </w:r>
    </w:p>
    <w:p w14:paraId="769245BF">
      <w:pPr>
        <w:rPr>
          <w:rFonts w:hint="eastAsia"/>
          <w:color w:val="auto"/>
          <w:highlight w:val="none"/>
        </w:rPr>
      </w:pPr>
    </w:p>
    <w:p w14:paraId="0F716F9D">
      <w:pPr>
        <w:rPr>
          <w:rFonts w:hint="eastAsia"/>
          <w:color w:val="auto"/>
          <w:highlight w:val="none"/>
        </w:rPr>
      </w:pPr>
    </w:p>
    <w:p w14:paraId="55395C02">
      <w:pPr>
        <w:pStyle w:val="8"/>
        <w:rPr>
          <w:rFonts w:hint="eastAsia"/>
          <w:color w:val="auto"/>
          <w:highlight w:val="none"/>
        </w:rPr>
      </w:pPr>
    </w:p>
    <w:p w14:paraId="1CE06CB6">
      <w:pPr>
        <w:pStyle w:val="26"/>
        <w:ind w:firstLine="0" w:firstLineChars="0"/>
        <w:jc w:val="center"/>
        <w:rPr>
          <w:rFonts w:hint="eastAsia" w:hAnsi="宋体" w:cs="宋体"/>
          <w:color w:val="auto"/>
          <w:sz w:val="24"/>
          <w:highlight w:val="none"/>
        </w:rPr>
      </w:pPr>
      <w:r>
        <w:rPr>
          <w:rFonts w:hint="eastAsia"/>
          <w:b/>
          <w:bCs/>
          <w:color w:val="auto"/>
          <w:highlight w:val="none"/>
        </w:rPr>
        <w:t>投  标  函</w:t>
      </w:r>
    </w:p>
    <w:p w14:paraId="5A7685F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0A8121FD">
      <w:pPr>
        <w:tabs>
          <w:tab w:val="left" w:pos="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1、我公司决定参加贵单位组织的</w:t>
      </w:r>
      <w:r>
        <w:rPr>
          <w:rFonts w:hint="eastAsia" w:ascii="宋体" w:hAnsi="宋体" w:cs="宋体"/>
          <w:color w:val="auto"/>
          <w:sz w:val="24"/>
          <w:highlight w:val="none"/>
          <w:u w:val="single"/>
        </w:rPr>
        <w:t>“                     （项目名称）</w:t>
      </w:r>
      <w:r>
        <w:rPr>
          <w:rFonts w:hint="eastAsia" w:ascii="宋体" w:hAnsi="宋体" w:cs="宋体"/>
          <w:color w:val="auto"/>
          <w:sz w:val="24"/>
          <w:highlight w:val="none"/>
        </w:rPr>
        <w:t>”的采购。我方授权</w:t>
      </w:r>
      <w:r>
        <w:rPr>
          <w:rFonts w:hint="eastAsia" w:ascii="宋体" w:hAnsi="宋体" w:cs="宋体"/>
          <w:color w:val="auto"/>
          <w:sz w:val="24"/>
          <w:highlight w:val="none"/>
          <w:u w:val="single"/>
        </w:rPr>
        <w:t xml:space="preserve">             （姓名和职务）</w:t>
      </w:r>
      <w:r>
        <w:rPr>
          <w:rFonts w:hint="eastAsia" w:ascii="宋体" w:hAnsi="宋体" w:cs="宋体"/>
          <w:color w:val="auto"/>
          <w:sz w:val="24"/>
          <w:highlight w:val="none"/>
        </w:rPr>
        <w:t>代表我方</w:t>
      </w:r>
      <w:r>
        <w:rPr>
          <w:rFonts w:hint="eastAsia" w:ascii="宋体" w:hAnsi="宋体" w:cs="宋体"/>
          <w:color w:val="auto"/>
          <w:sz w:val="24"/>
          <w:highlight w:val="none"/>
          <w:u w:val="single"/>
        </w:rPr>
        <w:t xml:space="preserve">             （投标供应商的名称）</w:t>
      </w:r>
      <w:r>
        <w:rPr>
          <w:rFonts w:hint="eastAsia" w:ascii="宋体" w:hAnsi="宋体" w:cs="宋体"/>
          <w:color w:val="auto"/>
          <w:sz w:val="24"/>
          <w:highlight w:val="none"/>
        </w:rPr>
        <w:t>全权处理本项目投标的有关事宜。</w:t>
      </w:r>
    </w:p>
    <w:p w14:paraId="241D4D17">
      <w:pPr>
        <w:tabs>
          <w:tab w:val="left" w:pos="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2、我方愿意按照采购文件规定的各项要求，向采购人提供本项目的货物与服务，总投标价为人民币（大写）</w:t>
      </w:r>
      <w:r>
        <w:rPr>
          <w:rFonts w:hint="eastAsia" w:ascii="宋体" w:hAnsi="宋体" w:cs="宋体"/>
          <w:color w:val="auto"/>
          <w:sz w:val="24"/>
          <w:highlight w:val="none"/>
          <w:u w:val="single"/>
        </w:rPr>
        <w:t xml:space="preserve">                   （小写）                  元 。</w:t>
      </w:r>
    </w:p>
    <w:p w14:paraId="57E73590">
      <w:pPr>
        <w:tabs>
          <w:tab w:val="left" w:pos="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719A133A">
      <w:pPr>
        <w:tabs>
          <w:tab w:val="left" w:pos="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4、我方同意按照采购文件的要求，递交金额为人民币</w:t>
      </w:r>
      <w:r>
        <w:rPr>
          <w:rFonts w:hint="eastAsia" w:ascii="宋体" w:hAnsi="宋体" w:cs="宋体"/>
          <w:color w:val="auto"/>
          <w:sz w:val="24"/>
          <w:highlight w:val="none"/>
          <w:u w:val="single"/>
        </w:rPr>
        <w:t xml:space="preserve">        （大写）</w:t>
      </w:r>
      <w:r>
        <w:rPr>
          <w:rFonts w:hint="eastAsia" w:ascii="宋体" w:hAnsi="宋体" w:cs="宋体"/>
          <w:color w:val="auto"/>
          <w:sz w:val="24"/>
          <w:highlight w:val="none"/>
        </w:rPr>
        <w:t>的采购投标保证金。并且承诺，在采购有效期内如果我方撤回采购投标书或成为合同签字人后拒绝签订合同，我方将放弃要求退还该保证金的权力。</w:t>
      </w:r>
    </w:p>
    <w:p w14:paraId="1290794D">
      <w:pPr>
        <w:tabs>
          <w:tab w:val="left" w:pos="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5、一旦我方中标，为本项目提交的投</w:t>
      </w:r>
      <w:bookmarkStart w:id="439" w:name="_GoBack"/>
      <w:bookmarkEnd w:id="439"/>
      <w:r>
        <w:rPr>
          <w:rFonts w:hint="eastAsia" w:ascii="宋体" w:hAnsi="宋体" w:cs="宋体"/>
          <w:color w:val="auto"/>
          <w:sz w:val="24"/>
          <w:highlight w:val="none"/>
        </w:rPr>
        <w:t>标书一式三份，其中正本一份、副本二份。</w:t>
      </w:r>
    </w:p>
    <w:p w14:paraId="2BC9A20D">
      <w:pPr>
        <w:tabs>
          <w:tab w:val="left" w:pos="0"/>
        </w:tabs>
        <w:spacing w:line="560" w:lineRule="exact"/>
        <w:ind w:firstLine="480" w:firstLineChars="200"/>
        <w:rPr>
          <w:rFonts w:hint="eastAsia"/>
          <w:color w:val="auto"/>
          <w:sz w:val="24"/>
          <w:highlight w:val="none"/>
        </w:rPr>
      </w:pPr>
      <w:r>
        <w:rPr>
          <w:rFonts w:hint="eastAsia" w:ascii="宋体" w:hAnsi="宋体" w:cs="宋体"/>
          <w:color w:val="auto"/>
          <w:sz w:val="24"/>
          <w:highlight w:val="none"/>
        </w:rPr>
        <w:t>6、我方愿意提供可能另外要求的、与采购投标有关的文件资料，并保证我方已提供和将要提供的文件是真实的、准</w:t>
      </w:r>
      <w:r>
        <w:rPr>
          <w:rFonts w:hint="eastAsia"/>
          <w:color w:val="auto"/>
          <w:sz w:val="24"/>
          <w:highlight w:val="none"/>
        </w:rPr>
        <w:t>确的。</w:t>
      </w:r>
    </w:p>
    <w:p w14:paraId="195E8DF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w:t>
      </w:r>
    </w:p>
    <w:p w14:paraId="634F4B28">
      <w:pPr>
        <w:spacing w:line="440" w:lineRule="exact"/>
        <w:rPr>
          <w:rFonts w:hint="eastAsia" w:ascii="宋体" w:hAnsi="宋体" w:cs="宋体"/>
          <w:color w:val="auto"/>
          <w:sz w:val="24"/>
          <w:highlight w:val="none"/>
        </w:rPr>
      </w:pPr>
    </w:p>
    <w:p w14:paraId="220356B0">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 xml:space="preserve">投标供应商名称：（公章） </w:t>
      </w:r>
    </w:p>
    <w:p w14:paraId="4195742C">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投标供应商授权代表或法定代表人（签字或盖章）：</w:t>
      </w:r>
    </w:p>
    <w:p w14:paraId="31CFCC20">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日期：</w:t>
      </w:r>
    </w:p>
    <w:p w14:paraId="465829F0">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通讯地址：</w:t>
      </w:r>
    </w:p>
    <w:p w14:paraId="57175254">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电话：</w:t>
      </w:r>
    </w:p>
    <w:p w14:paraId="639D3049">
      <w:pPr>
        <w:pStyle w:val="24"/>
        <w:wordWrap w:val="0"/>
        <w:spacing w:line="560" w:lineRule="exact"/>
        <w:ind w:firstLine="480"/>
        <w:rPr>
          <w:rFonts w:hint="eastAsia"/>
          <w:color w:val="auto"/>
          <w:kern w:val="2"/>
          <w:sz w:val="24"/>
          <w:szCs w:val="24"/>
          <w:highlight w:val="none"/>
        </w:rPr>
      </w:pPr>
      <w:r>
        <w:rPr>
          <w:rFonts w:hint="eastAsia"/>
          <w:color w:val="auto"/>
          <w:kern w:val="2"/>
          <w:sz w:val="24"/>
          <w:szCs w:val="24"/>
          <w:highlight w:val="none"/>
        </w:rPr>
        <w:t>传真：</w:t>
      </w:r>
    </w:p>
    <w:p w14:paraId="3489FDE9">
      <w:pPr>
        <w:pStyle w:val="24"/>
        <w:wordWrap w:val="0"/>
        <w:spacing w:line="560" w:lineRule="exact"/>
        <w:ind w:firstLine="480"/>
        <w:rPr>
          <w:rFonts w:hint="eastAsia"/>
          <w:color w:val="auto"/>
          <w:kern w:val="2"/>
          <w:sz w:val="24"/>
          <w:szCs w:val="24"/>
          <w:highlight w:val="none"/>
        </w:rPr>
      </w:pPr>
    </w:p>
    <w:p w14:paraId="4C8F8C5E">
      <w:pPr>
        <w:pStyle w:val="24"/>
        <w:wordWrap w:val="0"/>
        <w:spacing w:line="560" w:lineRule="exact"/>
        <w:ind w:firstLine="480"/>
        <w:rPr>
          <w:rFonts w:hint="eastAsia"/>
          <w:color w:val="auto"/>
          <w:kern w:val="2"/>
          <w:sz w:val="24"/>
          <w:szCs w:val="24"/>
          <w:highlight w:val="none"/>
        </w:rPr>
      </w:pPr>
    </w:p>
    <w:p w14:paraId="75E0E96A">
      <w:pPr>
        <w:rPr>
          <w:rFonts w:hint="eastAsia"/>
          <w:color w:val="auto"/>
          <w:highlight w:val="none"/>
        </w:rPr>
      </w:pPr>
    </w:p>
    <w:p w14:paraId="0C0F722D">
      <w:pPr>
        <w:pStyle w:val="8"/>
        <w:rPr>
          <w:rFonts w:hint="eastAsia"/>
          <w:color w:val="auto"/>
          <w:highlight w:val="none"/>
        </w:rPr>
      </w:pPr>
    </w:p>
    <w:p w14:paraId="17AD7030">
      <w:pPr>
        <w:rPr>
          <w:rFonts w:hint="eastAsia"/>
          <w:color w:val="auto"/>
          <w:highlight w:val="none"/>
        </w:rPr>
      </w:pPr>
    </w:p>
    <w:p w14:paraId="6FB3905D">
      <w:pPr>
        <w:pageBreakBefore/>
        <w:spacing w:before="162" w:beforeLines="50" w:after="162" w:afterLines="50" w:line="440" w:lineRule="exact"/>
        <w:jc w:val="center"/>
        <w:outlineLvl w:val="1"/>
        <w:rPr>
          <w:rFonts w:hint="eastAsia" w:ascii="宋体" w:hAnsi="宋体" w:cs="宋体"/>
          <w:b/>
          <w:color w:val="auto"/>
          <w:sz w:val="32"/>
          <w:szCs w:val="32"/>
          <w:highlight w:val="none"/>
        </w:rPr>
      </w:pPr>
      <w:bookmarkStart w:id="438" w:name="_Toc29871"/>
      <w:r>
        <w:rPr>
          <w:rFonts w:hint="eastAsia" w:ascii="宋体" w:hAnsi="宋体" w:cs="宋体"/>
          <w:b/>
          <w:color w:val="auto"/>
          <w:sz w:val="32"/>
          <w:szCs w:val="32"/>
          <w:highlight w:val="none"/>
        </w:rPr>
        <w:t>第六章  采购单位、招标代理机构对本采购文件的确认</w:t>
      </w:r>
      <w:bookmarkEnd w:id="438"/>
    </w:p>
    <w:p w14:paraId="17F28139">
      <w:pPr>
        <w:pStyle w:val="8"/>
        <w:rPr>
          <w:rFonts w:hint="eastAsia" w:ascii="宋体" w:hAnsi="宋体" w:cs="宋体"/>
          <w:b w:val="0"/>
          <w:bCs w:val="0"/>
          <w:color w:val="auto"/>
          <w:sz w:val="24"/>
          <w:szCs w:val="24"/>
          <w:highlight w:val="none"/>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3D9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noWrap w:val="0"/>
            <w:vAlign w:val="top"/>
          </w:tcPr>
          <w:p w14:paraId="6D15D5C8">
            <w:pPr>
              <w:adjustRightInd w:val="0"/>
              <w:snapToGrid w:val="0"/>
              <w:spacing w:line="320" w:lineRule="exact"/>
              <w:rPr>
                <w:rFonts w:hint="eastAsia" w:ascii="宋体" w:hAnsi="宋体" w:cs="宋体"/>
                <w:color w:val="auto"/>
                <w:sz w:val="30"/>
                <w:szCs w:val="30"/>
                <w:highlight w:val="none"/>
              </w:rPr>
            </w:pPr>
          </w:p>
          <w:p w14:paraId="5C4E0484">
            <w:pPr>
              <w:spacing w:line="700" w:lineRule="exact"/>
              <w:ind w:right="143" w:rightChars="68"/>
              <w:jc w:val="left"/>
              <w:rPr>
                <w:rFonts w:hint="eastAsia" w:ascii="宋体" w:hAnsi="宋体" w:cs="宋体"/>
                <w:color w:val="auto"/>
                <w:sz w:val="30"/>
                <w:highlight w:val="none"/>
              </w:rPr>
            </w:pPr>
            <w:r>
              <w:rPr>
                <w:rFonts w:hint="eastAsia" w:ascii="宋体" w:hAnsi="宋体" w:cs="宋体"/>
                <w:color w:val="auto"/>
                <w:sz w:val="30"/>
                <w:highlight w:val="none"/>
              </w:rPr>
              <w:t>我单位对</w:t>
            </w:r>
            <w:r>
              <w:rPr>
                <w:rFonts w:hint="eastAsia" w:ascii="宋体" w:hAnsi="宋体" w:cs="宋体"/>
                <w:color w:val="auto"/>
                <w:sz w:val="30"/>
                <w:highlight w:val="none"/>
                <w:u w:val="single"/>
              </w:rPr>
              <w:t xml:space="preserve">  滁州学院2024年档案管理系统采购（一期） </w:t>
            </w:r>
            <w:r>
              <w:rPr>
                <w:rFonts w:hint="eastAsia" w:ascii="宋体" w:hAnsi="宋体" w:cs="宋体"/>
                <w:color w:val="auto"/>
                <w:sz w:val="30"/>
                <w:highlight w:val="none"/>
              </w:rPr>
              <w:t>的采购文件进行确认。</w:t>
            </w:r>
          </w:p>
          <w:p w14:paraId="7C8E165C">
            <w:pPr>
              <w:spacing w:line="600" w:lineRule="exact"/>
              <w:ind w:firstLine="560" w:firstLineChars="200"/>
              <w:jc w:val="left"/>
              <w:rPr>
                <w:rFonts w:hint="eastAsia" w:ascii="宋体" w:cs="宋体"/>
                <w:color w:val="auto"/>
                <w:sz w:val="28"/>
                <w:szCs w:val="28"/>
                <w:highlight w:val="none"/>
              </w:rPr>
            </w:pPr>
          </w:p>
          <w:p w14:paraId="73839C93">
            <w:pPr>
              <w:spacing w:line="600" w:lineRule="exact"/>
              <w:ind w:firstLine="560" w:firstLineChars="200"/>
              <w:jc w:val="left"/>
              <w:rPr>
                <w:rFonts w:hint="eastAsia" w:ascii="宋体" w:cs="宋体"/>
                <w:color w:val="auto"/>
                <w:sz w:val="28"/>
                <w:szCs w:val="28"/>
                <w:highlight w:val="none"/>
              </w:rPr>
            </w:pPr>
            <w:r>
              <w:rPr>
                <w:rFonts w:hint="eastAsia" w:ascii="宋体" w:cs="宋体"/>
                <w:color w:val="auto"/>
                <w:sz w:val="28"/>
                <w:szCs w:val="28"/>
                <w:highlight w:val="none"/>
              </w:rPr>
              <w:t>采购单位：</w:t>
            </w:r>
            <w:r>
              <w:rPr>
                <w:rFonts w:hint="eastAsia" w:ascii="宋体" w:hAnsi="宋体"/>
                <w:color w:val="auto"/>
                <w:sz w:val="30"/>
                <w:highlight w:val="none"/>
              </w:rPr>
              <w:t>资产与实验室管理处</w:t>
            </w:r>
          </w:p>
          <w:p w14:paraId="0293C930">
            <w:pPr>
              <w:spacing w:line="600" w:lineRule="exact"/>
              <w:ind w:firstLine="560" w:firstLineChars="200"/>
              <w:jc w:val="left"/>
              <w:rPr>
                <w:rFonts w:hint="eastAsia" w:ascii="宋体" w:hAnsi="宋体"/>
                <w:color w:val="auto"/>
                <w:sz w:val="30"/>
                <w:highlight w:val="none"/>
              </w:rPr>
            </w:pPr>
            <w:r>
              <w:rPr>
                <w:rFonts w:hint="eastAsia" w:ascii="宋体" w:cs="宋体"/>
                <w:color w:val="auto"/>
                <w:sz w:val="28"/>
                <w:szCs w:val="28"/>
                <w:highlight w:val="none"/>
              </w:rPr>
              <w:t>联系人</w:t>
            </w:r>
            <w:r>
              <w:rPr>
                <w:rFonts w:hint="eastAsia" w:ascii="宋体" w:hAnsi="宋体"/>
                <w:color w:val="auto"/>
                <w:sz w:val="30"/>
                <w:highlight w:val="none"/>
              </w:rPr>
              <w:t>：陈老师、王老师</w:t>
            </w:r>
          </w:p>
          <w:p w14:paraId="11AED926">
            <w:pPr>
              <w:spacing w:line="700" w:lineRule="exact"/>
              <w:ind w:firstLine="560" w:firstLineChars="200"/>
              <w:rPr>
                <w:rFonts w:hint="eastAsia" w:ascii="宋体" w:hAnsi="宋体" w:cs="宋体"/>
                <w:color w:val="auto"/>
                <w:sz w:val="30"/>
                <w:highlight w:val="none"/>
              </w:rPr>
            </w:pPr>
            <w:r>
              <w:rPr>
                <w:rFonts w:hint="eastAsia" w:ascii="宋体" w:cs="宋体"/>
                <w:color w:val="auto"/>
                <w:sz w:val="28"/>
                <w:szCs w:val="28"/>
                <w:highlight w:val="none"/>
              </w:rPr>
              <w:t>联系电话：0550-3512003、15855097225　</w:t>
            </w:r>
          </w:p>
          <w:p w14:paraId="5A1306A6">
            <w:pPr>
              <w:spacing w:line="500" w:lineRule="exact"/>
              <w:ind w:firstLine="300" w:firstLineChars="100"/>
              <w:rPr>
                <w:rFonts w:hint="eastAsia" w:ascii="宋体" w:hAnsi="宋体" w:cs="宋体"/>
                <w:color w:val="auto"/>
                <w:sz w:val="30"/>
                <w:highlight w:val="none"/>
              </w:rPr>
            </w:pPr>
          </w:p>
          <w:p w14:paraId="18187652">
            <w:pPr>
              <w:widowControl/>
              <w:spacing w:line="440" w:lineRule="exact"/>
              <w:ind w:left="-197" w:leftChars="-94" w:right="-313" w:rightChars="-149"/>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9945630">
            <w:pPr>
              <w:pStyle w:val="21"/>
              <w:rPr>
                <w:rFonts w:hint="eastAsia"/>
                <w:color w:val="auto"/>
                <w:highlight w:val="none"/>
              </w:rPr>
            </w:pPr>
          </w:p>
          <w:p w14:paraId="55A59043">
            <w:pPr>
              <w:spacing w:line="500" w:lineRule="exact"/>
              <w:ind w:firstLine="300" w:firstLineChars="100"/>
              <w:rPr>
                <w:rFonts w:hint="eastAsia" w:ascii="宋体" w:hAnsi="宋体" w:cs="宋体"/>
                <w:color w:val="auto"/>
                <w:sz w:val="30"/>
                <w:highlight w:val="none"/>
              </w:rPr>
            </w:pPr>
            <w:r>
              <w:rPr>
                <w:rFonts w:hint="eastAsia" w:ascii="宋体" w:hAnsi="宋体" w:cs="宋体"/>
                <w:color w:val="auto"/>
                <w:sz w:val="30"/>
                <w:highlight w:val="none"/>
              </w:rPr>
              <w:t xml:space="preserve">                                        （单位盖章）</w:t>
            </w:r>
          </w:p>
          <w:p w14:paraId="161569B5">
            <w:pPr>
              <w:ind w:firstLine="6600" w:firstLineChars="2200"/>
              <w:rPr>
                <w:rFonts w:hint="eastAsia" w:ascii="宋体" w:hAnsi="宋体" w:cs="宋体"/>
                <w:color w:val="auto"/>
                <w:sz w:val="30"/>
                <w:highlight w:val="none"/>
              </w:rPr>
            </w:pPr>
            <w:r>
              <w:rPr>
                <w:rFonts w:hint="eastAsia" w:ascii="宋体" w:hAnsi="宋体" w:cs="宋体"/>
                <w:color w:val="auto"/>
                <w:sz w:val="30"/>
                <w:highlight w:val="none"/>
              </w:rPr>
              <w:t>2024年8月</w:t>
            </w:r>
          </w:p>
        </w:tc>
      </w:tr>
      <w:tr w14:paraId="0252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9180" w:type="dxa"/>
            <w:noWrap w:val="0"/>
            <w:vAlign w:val="top"/>
          </w:tcPr>
          <w:p w14:paraId="28C1B1A1">
            <w:pPr>
              <w:spacing w:line="320" w:lineRule="atLeast"/>
              <w:ind w:firstLine="600" w:firstLineChars="200"/>
              <w:rPr>
                <w:rFonts w:hint="eastAsia" w:ascii="宋体" w:hAnsi="宋体" w:cs="宋体"/>
                <w:color w:val="auto"/>
                <w:sz w:val="30"/>
                <w:highlight w:val="none"/>
              </w:rPr>
            </w:pPr>
          </w:p>
          <w:p w14:paraId="5EFC5DAF">
            <w:pPr>
              <w:spacing w:line="320" w:lineRule="atLeast"/>
              <w:ind w:firstLine="600" w:firstLineChars="200"/>
              <w:rPr>
                <w:rFonts w:hint="eastAsia" w:ascii="宋体" w:hAnsi="宋体" w:cs="宋体"/>
                <w:color w:val="auto"/>
                <w:sz w:val="30"/>
                <w:highlight w:val="none"/>
              </w:rPr>
            </w:pPr>
            <w:r>
              <w:rPr>
                <w:rFonts w:hint="eastAsia" w:ascii="宋体" w:hAnsi="宋体" w:cs="宋体"/>
                <w:color w:val="auto"/>
                <w:sz w:val="30"/>
                <w:highlight w:val="none"/>
              </w:rPr>
              <w:t>招标代理机构：安徽立地工程咨询有限公司</w:t>
            </w:r>
          </w:p>
          <w:p w14:paraId="7A5EB3B4">
            <w:pPr>
              <w:spacing w:line="320" w:lineRule="atLeas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经办人：全晨曦</w:t>
            </w:r>
          </w:p>
          <w:p w14:paraId="530E8967">
            <w:pPr>
              <w:spacing w:line="56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联系电话：18075270227、13965950189</w:t>
            </w:r>
          </w:p>
          <w:p w14:paraId="7F7A1787">
            <w:pPr>
              <w:spacing w:line="500" w:lineRule="exact"/>
              <w:ind w:firstLine="600" w:firstLineChars="200"/>
              <w:rPr>
                <w:rFonts w:hint="eastAsia" w:ascii="宋体" w:hAnsi="宋体" w:cs="宋体"/>
                <w:color w:val="auto"/>
                <w:sz w:val="30"/>
                <w:szCs w:val="30"/>
                <w:highlight w:val="none"/>
              </w:rPr>
            </w:pPr>
          </w:p>
          <w:p w14:paraId="16E59AE8">
            <w:pPr>
              <w:spacing w:line="500" w:lineRule="exact"/>
              <w:ind w:firstLine="600" w:firstLineChars="200"/>
              <w:rPr>
                <w:rFonts w:hint="eastAsia" w:ascii="宋体" w:hAnsi="宋体" w:cs="宋体"/>
                <w:color w:val="auto"/>
                <w:sz w:val="30"/>
                <w:highlight w:val="none"/>
              </w:rPr>
            </w:pPr>
          </w:p>
          <w:p w14:paraId="719F621E">
            <w:pPr>
              <w:ind w:firstLine="5400" w:firstLineChars="1800"/>
              <w:rPr>
                <w:rFonts w:hint="eastAsia" w:ascii="宋体" w:hAnsi="宋体" w:cs="宋体"/>
                <w:color w:val="auto"/>
                <w:sz w:val="30"/>
                <w:highlight w:val="none"/>
              </w:rPr>
            </w:pPr>
          </w:p>
          <w:p w14:paraId="0110C53E">
            <w:pPr>
              <w:ind w:firstLine="5400" w:firstLineChars="1800"/>
              <w:rPr>
                <w:rFonts w:hint="eastAsia" w:ascii="宋体" w:hAnsi="宋体" w:cs="宋体"/>
                <w:color w:val="auto"/>
                <w:sz w:val="30"/>
                <w:highlight w:val="none"/>
              </w:rPr>
            </w:pPr>
          </w:p>
          <w:p w14:paraId="309752D5">
            <w:pPr>
              <w:ind w:firstLine="6300" w:firstLineChars="2100"/>
              <w:rPr>
                <w:rFonts w:hint="eastAsia" w:ascii="宋体" w:hAnsi="宋体" w:cs="宋体"/>
                <w:color w:val="auto"/>
                <w:sz w:val="30"/>
                <w:highlight w:val="none"/>
              </w:rPr>
            </w:pPr>
            <w:r>
              <w:rPr>
                <w:rFonts w:hint="eastAsia" w:ascii="宋体" w:hAnsi="宋体" w:cs="宋体"/>
                <w:color w:val="auto"/>
                <w:sz w:val="30"/>
                <w:highlight w:val="none"/>
              </w:rPr>
              <w:t>（单位盖章）</w:t>
            </w:r>
          </w:p>
          <w:p w14:paraId="1C25C3C5">
            <w:pPr>
              <w:ind w:firstLine="5250" w:firstLineChars="1750"/>
              <w:rPr>
                <w:rFonts w:hint="eastAsia" w:ascii="宋体" w:hAnsi="宋体" w:cs="宋体"/>
                <w:color w:val="auto"/>
                <w:sz w:val="30"/>
                <w:highlight w:val="none"/>
              </w:rPr>
            </w:pPr>
            <w:r>
              <w:rPr>
                <w:rFonts w:hint="eastAsia" w:ascii="宋体" w:hAnsi="宋体" w:cs="宋体"/>
                <w:color w:val="auto"/>
                <w:sz w:val="30"/>
                <w:highlight w:val="none"/>
              </w:rPr>
              <w:t xml:space="preserve">        2024年8月</w:t>
            </w:r>
          </w:p>
        </w:tc>
      </w:tr>
      <w:bookmarkEnd w:id="0"/>
      <w:bookmarkEnd w:id="1"/>
      <w:bookmarkEnd w:id="2"/>
      <w:bookmarkEnd w:id="3"/>
    </w:tbl>
    <w:p w14:paraId="1990933E">
      <w:pPr>
        <w:rPr>
          <w:rFonts w:hint="eastAsia" w:ascii="宋体" w:hAnsi="宋体" w:cs="宋体"/>
          <w:color w:val="auto"/>
          <w:highlight w:val="none"/>
        </w:rPr>
      </w:pPr>
    </w:p>
    <w:sectPr>
      <w:pgSz w:w="11906" w:h="16838"/>
      <w:pgMar w:top="1134" w:right="1417" w:bottom="1134" w:left="1417" w:header="850"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ADB9">
    <w:pPr>
      <w:pStyle w:val="19"/>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E95EF5">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AVYgX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gFWIF1AEAAKYDAAAOAAAAAAAAAAEAIAAA&#10;ACIBAABkcnMvZTJvRG9jLnhtbFBLBQYAAAAABgAGAFkBAABoBQAAAAA=&#10;">
              <v:fill on="f" focussize="0,0"/>
              <v:stroke on="f" weight="1.25pt"/>
              <v:imagedata o:title=""/>
              <o:lock v:ext="edit" aspectratio="f"/>
              <v:textbox inset="0mm,0mm,0mm,0mm" style="mso-fit-shape-to-text:t;">
                <w:txbxContent>
                  <w:p w14:paraId="1BE95EF5">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E447">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00203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002030" cy="1828800"/>
                      </a:xfrm>
                      <a:prstGeom prst="rect">
                        <a:avLst/>
                      </a:prstGeom>
                      <a:noFill/>
                      <a:ln>
                        <a:noFill/>
                      </a:ln>
                    </wps:spPr>
                    <wps:txbx>
                      <w:txbxContent>
                        <w:p w14:paraId="1A8C1BEC">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lIns="0" tIns="0" rIns="0" bIns="0" upright="0">
                      <a:spAutoFit/>
                    </wps:bodyPr>
                  </wps:wsp>
                </a:graphicData>
              </a:graphic>
            </wp:anchor>
          </w:drawing>
        </mc:Choice>
        <mc:Fallback>
          <w:pict>
            <v:shape id="文本框 1027" o:spid="_x0000_s1026" o:spt="202" type="#_x0000_t202" style="position:absolute;left:0pt;margin-top:0pt;height:144pt;width:78.9pt;mso-position-horizontal:center;mso-position-horizontal-relative:margin;z-index:251663360;mso-width-relative:page;mso-height-relative:page;" filled="f" stroked="f" coordsize="21600,21600" o:gfxdata="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7IkbTAAAABQEAAA8AAAAAAAAAAQAgAAAAIgAAAGRycy9kb3ducmV2&#10;LnhtbFBLAQIUABQAAAAIAIdO4kCHc5MlyAEAAJADAAAOAAAAAAAAAAEAIAAAACIBAABkcnMvZTJv&#10;RG9jLnhtbFBLBQYAAAAABgAGAFkBAABcBQAAAAA=&#10;">
              <v:fill on="f" focussize="0,0"/>
              <v:stroke on="f"/>
              <v:imagedata o:title=""/>
              <o:lock v:ext="edit" aspectratio="f"/>
              <v:textbox inset="0mm,0mm,0mm,0mm" style="mso-fit-shape-to-text:t;">
                <w:txbxContent>
                  <w:p w14:paraId="1A8C1BEC">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A67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B77EC">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AFB77EC">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C563">
    <w:pPr>
      <w:pStyle w:val="19"/>
      <w:ind w:right="360"/>
      <w:jc w:val="both"/>
      <w:rPr>
        <w:rFonts w:hint="eastAsia"/>
        <w:kern w:val="0"/>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CF13BF">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np9fPUAQAApg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rNx8EHtu7xRqRXw7w8R28ldpgoj7FQYx5d5TquW9uN/P2fd&#10;/16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6fXz1AEAAKYDAAAOAAAAAAAAAAEAIAAA&#10;ACIBAABkcnMvZTJvRG9jLnhtbFBLBQYAAAAABgAGAFkBAABoBQAAAAA=&#10;">
              <v:fill on="f" focussize="0,0"/>
              <v:stroke on="f" weight="1.25pt"/>
              <v:imagedata o:title=""/>
              <o:lock v:ext="edit" aspectratio="f"/>
              <v:textbox inset="0mm,0mm,0mm,0mm" style="mso-fit-shape-to-text:t;">
                <w:txbxContent>
                  <w:p w14:paraId="75CF13BF">
                    <w:pPr>
                      <w:pStyle w:val="19"/>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C7FD">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64504887">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65pt;width:67.55pt;mso-position-horizontal:center;mso-position-horizontal-relative:margin;mso-wrap-style:none;z-index:251660288;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0N5RNIAAAAEAQAADwAAAAAAAAABACAAAAAiAAAAZHJzL2Rv&#10;d25yZXYueG1sUEsBAhQAFAAAAAgAh07iQJafMn7OAQAAlwMAAA4AAAAAAAAAAQAgAAAAIQEAAGRy&#10;cy9lMm9Eb2MueG1sUEsFBgAAAAAGAAYAWQEAAGEFAAAAAA==&#10;">
              <v:fill on="f" focussize="0,0"/>
              <v:stroke on="f"/>
              <v:imagedata o:title=""/>
              <o:lock v:ext="edit" aspectratio="f"/>
              <v:textbox inset="0mm,0mm,0mm,0mm" style="mso-fit-shape-to-text:t;">
                <w:txbxContent>
                  <w:p w14:paraId="64504887">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18CC">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8E588"/>
    <w:multiLevelType w:val="singleLevel"/>
    <w:tmpl w:val="58E8E58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hyphenationZone w:val="360"/>
  <w:drawingGridVerticalSpacing w:val="162"/>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NTVjYTQ4NGI2NTUxY2M0N2Q1MmY4NGI5ZGY4YWEifQ=="/>
  </w:docVars>
  <w:rsids>
    <w:rsidRoot w:val="0038170E"/>
    <w:rsid w:val="0000026B"/>
    <w:rsid w:val="00001462"/>
    <w:rsid w:val="000014C0"/>
    <w:rsid w:val="00001779"/>
    <w:rsid w:val="00001EED"/>
    <w:rsid w:val="0000265A"/>
    <w:rsid w:val="00002937"/>
    <w:rsid w:val="000032C8"/>
    <w:rsid w:val="00006578"/>
    <w:rsid w:val="00007982"/>
    <w:rsid w:val="00007A55"/>
    <w:rsid w:val="0001059F"/>
    <w:rsid w:val="000108ED"/>
    <w:rsid w:val="00010CA6"/>
    <w:rsid w:val="00010CCD"/>
    <w:rsid w:val="00010EA5"/>
    <w:rsid w:val="00011E33"/>
    <w:rsid w:val="00012101"/>
    <w:rsid w:val="00013337"/>
    <w:rsid w:val="00013ACB"/>
    <w:rsid w:val="000145C1"/>
    <w:rsid w:val="000162EB"/>
    <w:rsid w:val="00017BDB"/>
    <w:rsid w:val="00017D43"/>
    <w:rsid w:val="000203D9"/>
    <w:rsid w:val="00020903"/>
    <w:rsid w:val="00023CCF"/>
    <w:rsid w:val="000275D4"/>
    <w:rsid w:val="00027C35"/>
    <w:rsid w:val="00031228"/>
    <w:rsid w:val="00031915"/>
    <w:rsid w:val="00032766"/>
    <w:rsid w:val="00032A31"/>
    <w:rsid w:val="00033028"/>
    <w:rsid w:val="000345D9"/>
    <w:rsid w:val="00034848"/>
    <w:rsid w:val="0003501F"/>
    <w:rsid w:val="00036C65"/>
    <w:rsid w:val="000415FD"/>
    <w:rsid w:val="00041939"/>
    <w:rsid w:val="000419EC"/>
    <w:rsid w:val="00042249"/>
    <w:rsid w:val="0004305E"/>
    <w:rsid w:val="00043076"/>
    <w:rsid w:val="00043C98"/>
    <w:rsid w:val="00045A4E"/>
    <w:rsid w:val="00045A6F"/>
    <w:rsid w:val="00046DF3"/>
    <w:rsid w:val="000472C4"/>
    <w:rsid w:val="000475E9"/>
    <w:rsid w:val="0004764B"/>
    <w:rsid w:val="000479B9"/>
    <w:rsid w:val="00047D86"/>
    <w:rsid w:val="0005185E"/>
    <w:rsid w:val="000521A9"/>
    <w:rsid w:val="00052FCA"/>
    <w:rsid w:val="00053369"/>
    <w:rsid w:val="000533A9"/>
    <w:rsid w:val="0005362C"/>
    <w:rsid w:val="000539DE"/>
    <w:rsid w:val="00053A5A"/>
    <w:rsid w:val="00053BB4"/>
    <w:rsid w:val="000540F9"/>
    <w:rsid w:val="00055C4A"/>
    <w:rsid w:val="00056A7D"/>
    <w:rsid w:val="00056F2F"/>
    <w:rsid w:val="000577BD"/>
    <w:rsid w:val="00057AB6"/>
    <w:rsid w:val="00060E82"/>
    <w:rsid w:val="000620D0"/>
    <w:rsid w:val="00063E24"/>
    <w:rsid w:val="0006578C"/>
    <w:rsid w:val="0006687E"/>
    <w:rsid w:val="00066BF8"/>
    <w:rsid w:val="000719A0"/>
    <w:rsid w:val="00072653"/>
    <w:rsid w:val="000729AD"/>
    <w:rsid w:val="00072CF9"/>
    <w:rsid w:val="00075760"/>
    <w:rsid w:val="000758A6"/>
    <w:rsid w:val="000763B0"/>
    <w:rsid w:val="00077412"/>
    <w:rsid w:val="00077EFA"/>
    <w:rsid w:val="000828E5"/>
    <w:rsid w:val="000829E5"/>
    <w:rsid w:val="00083075"/>
    <w:rsid w:val="0008325F"/>
    <w:rsid w:val="00083A28"/>
    <w:rsid w:val="00083B38"/>
    <w:rsid w:val="00084560"/>
    <w:rsid w:val="00086541"/>
    <w:rsid w:val="00086BFE"/>
    <w:rsid w:val="00086C2C"/>
    <w:rsid w:val="00087499"/>
    <w:rsid w:val="0009043F"/>
    <w:rsid w:val="00090742"/>
    <w:rsid w:val="00091980"/>
    <w:rsid w:val="00092A9B"/>
    <w:rsid w:val="00094223"/>
    <w:rsid w:val="00094437"/>
    <w:rsid w:val="000946F3"/>
    <w:rsid w:val="000950C6"/>
    <w:rsid w:val="000952E1"/>
    <w:rsid w:val="0009660D"/>
    <w:rsid w:val="000973D1"/>
    <w:rsid w:val="0009789D"/>
    <w:rsid w:val="000A1806"/>
    <w:rsid w:val="000A1DF4"/>
    <w:rsid w:val="000A6721"/>
    <w:rsid w:val="000A6C0F"/>
    <w:rsid w:val="000B139F"/>
    <w:rsid w:val="000B2822"/>
    <w:rsid w:val="000B3798"/>
    <w:rsid w:val="000B53EC"/>
    <w:rsid w:val="000B58B9"/>
    <w:rsid w:val="000B6532"/>
    <w:rsid w:val="000B6837"/>
    <w:rsid w:val="000B6D0F"/>
    <w:rsid w:val="000B6F2F"/>
    <w:rsid w:val="000B70C3"/>
    <w:rsid w:val="000B7173"/>
    <w:rsid w:val="000B7B55"/>
    <w:rsid w:val="000B7D6D"/>
    <w:rsid w:val="000C05F6"/>
    <w:rsid w:val="000C13EB"/>
    <w:rsid w:val="000C27A8"/>
    <w:rsid w:val="000C4B5A"/>
    <w:rsid w:val="000C514F"/>
    <w:rsid w:val="000C53DB"/>
    <w:rsid w:val="000C5A75"/>
    <w:rsid w:val="000C5D53"/>
    <w:rsid w:val="000C5EC6"/>
    <w:rsid w:val="000C6079"/>
    <w:rsid w:val="000C6461"/>
    <w:rsid w:val="000C6C2E"/>
    <w:rsid w:val="000C7022"/>
    <w:rsid w:val="000C7213"/>
    <w:rsid w:val="000C7290"/>
    <w:rsid w:val="000C7CE2"/>
    <w:rsid w:val="000D0430"/>
    <w:rsid w:val="000D08ED"/>
    <w:rsid w:val="000D2737"/>
    <w:rsid w:val="000D354B"/>
    <w:rsid w:val="000D41E6"/>
    <w:rsid w:val="000D5A87"/>
    <w:rsid w:val="000D5E0E"/>
    <w:rsid w:val="000D6033"/>
    <w:rsid w:val="000D7481"/>
    <w:rsid w:val="000E085D"/>
    <w:rsid w:val="000E0F54"/>
    <w:rsid w:val="000E1895"/>
    <w:rsid w:val="000E1A40"/>
    <w:rsid w:val="000E3B58"/>
    <w:rsid w:val="000E40AE"/>
    <w:rsid w:val="000E41F8"/>
    <w:rsid w:val="000E42CA"/>
    <w:rsid w:val="000E4C7D"/>
    <w:rsid w:val="000E564A"/>
    <w:rsid w:val="000E5DBF"/>
    <w:rsid w:val="000E610D"/>
    <w:rsid w:val="000E77AE"/>
    <w:rsid w:val="000E7C99"/>
    <w:rsid w:val="000F4C93"/>
    <w:rsid w:val="000F5948"/>
    <w:rsid w:val="000F7736"/>
    <w:rsid w:val="00100CB8"/>
    <w:rsid w:val="001017EA"/>
    <w:rsid w:val="001018E0"/>
    <w:rsid w:val="00102683"/>
    <w:rsid w:val="00102994"/>
    <w:rsid w:val="00103422"/>
    <w:rsid w:val="00103BA0"/>
    <w:rsid w:val="0010491A"/>
    <w:rsid w:val="001049E9"/>
    <w:rsid w:val="00104B78"/>
    <w:rsid w:val="001103C5"/>
    <w:rsid w:val="001106DA"/>
    <w:rsid w:val="00111CEE"/>
    <w:rsid w:val="00111F8A"/>
    <w:rsid w:val="0011351C"/>
    <w:rsid w:val="001135D3"/>
    <w:rsid w:val="00113B31"/>
    <w:rsid w:val="00114090"/>
    <w:rsid w:val="00114B48"/>
    <w:rsid w:val="001165C8"/>
    <w:rsid w:val="00116951"/>
    <w:rsid w:val="00116972"/>
    <w:rsid w:val="00120064"/>
    <w:rsid w:val="00121671"/>
    <w:rsid w:val="00121955"/>
    <w:rsid w:val="00121D13"/>
    <w:rsid w:val="00123C61"/>
    <w:rsid w:val="00124013"/>
    <w:rsid w:val="001258C3"/>
    <w:rsid w:val="0012639F"/>
    <w:rsid w:val="00126938"/>
    <w:rsid w:val="0012758A"/>
    <w:rsid w:val="001312AE"/>
    <w:rsid w:val="001314E4"/>
    <w:rsid w:val="00132E03"/>
    <w:rsid w:val="001330B1"/>
    <w:rsid w:val="00134481"/>
    <w:rsid w:val="001346E8"/>
    <w:rsid w:val="001349E0"/>
    <w:rsid w:val="0013515C"/>
    <w:rsid w:val="001369DD"/>
    <w:rsid w:val="00136D03"/>
    <w:rsid w:val="001373B6"/>
    <w:rsid w:val="00140195"/>
    <w:rsid w:val="001411FF"/>
    <w:rsid w:val="00142F0C"/>
    <w:rsid w:val="001433DB"/>
    <w:rsid w:val="001440D8"/>
    <w:rsid w:val="00144D62"/>
    <w:rsid w:val="00150AA2"/>
    <w:rsid w:val="00151E8D"/>
    <w:rsid w:val="001533D0"/>
    <w:rsid w:val="00155215"/>
    <w:rsid w:val="001559A5"/>
    <w:rsid w:val="00156057"/>
    <w:rsid w:val="00157D7F"/>
    <w:rsid w:val="00160695"/>
    <w:rsid w:val="00160867"/>
    <w:rsid w:val="00161293"/>
    <w:rsid w:val="0016155A"/>
    <w:rsid w:val="00163598"/>
    <w:rsid w:val="00163F00"/>
    <w:rsid w:val="001640CC"/>
    <w:rsid w:val="001645BE"/>
    <w:rsid w:val="001648BB"/>
    <w:rsid w:val="00164F51"/>
    <w:rsid w:val="00165088"/>
    <w:rsid w:val="001651CB"/>
    <w:rsid w:val="001666E7"/>
    <w:rsid w:val="00166ABE"/>
    <w:rsid w:val="00170821"/>
    <w:rsid w:val="00170C15"/>
    <w:rsid w:val="001725BE"/>
    <w:rsid w:val="00172949"/>
    <w:rsid w:val="0017407E"/>
    <w:rsid w:val="001745E8"/>
    <w:rsid w:val="00174D99"/>
    <w:rsid w:val="00175A26"/>
    <w:rsid w:val="0017601F"/>
    <w:rsid w:val="0017627B"/>
    <w:rsid w:val="00177D9E"/>
    <w:rsid w:val="0018045B"/>
    <w:rsid w:val="001825A6"/>
    <w:rsid w:val="00182933"/>
    <w:rsid w:val="00183271"/>
    <w:rsid w:val="00183910"/>
    <w:rsid w:val="00183998"/>
    <w:rsid w:val="00184F14"/>
    <w:rsid w:val="0018574A"/>
    <w:rsid w:val="00185844"/>
    <w:rsid w:val="0018589A"/>
    <w:rsid w:val="00186134"/>
    <w:rsid w:val="00190937"/>
    <w:rsid w:val="00190DA7"/>
    <w:rsid w:val="00191840"/>
    <w:rsid w:val="00194AF8"/>
    <w:rsid w:val="00197123"/>
    <w:rsid w:val="001A0DF3"/>
    <w:rsid w:val="001A0FF2"/>
    <w:rsid w:val="001A2A48"/>
    <w:rsid w:val="001A31D2"/>
    <w:rsid w:val="001A32DB"/>
    <w:rsid w:val="001A3358"/>
    <w:rsid w:val="001A3F53"/>
    <w:rsid w:val="001A69D8"/>
    <w:rsid w:val="001A78D1"/>
    <w:rsid w:val="001B18EE"/>
    <w:rsid w:val="001B1DBD"/>
    <w:rsid w:val="001B2880"/>
    <w:rsid w:val="001B434C"/>
    <w:rsid w:val="001B4D32"/>
    <w:rsid w:val="001B544E"/>
    <w:rsid w:val="001B6802"/>
    <w:rsid w:val="001B74B4"/>
    <w:rsid w:val="001C00C0"/>
    <w:rsid w:val="001C1B29"/>
    <w:rsid w:val="001C2DA2"/>
    <w:rsid w:val="001C3A44"/>
    <w:rsid w:val="001C3FE9"/>
    <w:rsid w:val="001C41F5"/>
    <w:rsid w:val="001C41F8"/>
    <w:rsid w:val="001C53E4"/>
    <w:rsid w:val="001C57EB"/>
    <w:rsid w:val="001C65A5"/>
    <w:rsid w:val="001C70FC"/>
    <w:rsid w:val="001C78B7"/>
    <w:rsid w:val="001D00B5"/>
    <w:rsid w:val="001D00BE"/>
    <w:rsid w:val="001D52BE"/>
    <w:rsid w:val="001D64BD"/>
    <w:rsid w:val="001D7BF6"/>
    <w:rsid w:val="001E14C1"/>
    <w:rsid w:val="001E1644"/>
    <w:rsid w:val="001E1941"/>
    <w:rsid w:val="001E3F7E"/>
    <w:rsid w:val="001E4085"/>
    <w:rsid w:val="001E5B11"/>
    <w:rsid w:val="001E5E48"/>
    <w:rsid w:val="001E6366"/>
    <w:rsid w:val="001E6396"/>
    <w:rsid w:val="001E7067"/>
    <w:rsid w:val="001E724A"/>
    <w:rsid w:val="001E75FD"/>
    <w:rsid w:val="001F27F9"/>
    <w:rsid w:val="001F317F"/>
    <w:rsid w:val="001F3741"/>
    <w:rsid w:val="001F557E"/>
    <w:rsid w:val="001F56CA"/>
    <w:rsid w:val="002009B3"/>
    <w:rsid w:val="00200AD4"/>
    <w:rsid w:val="00200D7D"/>
    <w:rsid w:val="002010A6"/>
    <w:rsid w:val="002036C3"/>
    <w:rsid w:val="002037FA"/>
    <w:rsid w:val="00203FFE"/>
    <w:rsid w:val="00204180"/>
    <w:rsid w:val="002047F3"/>
    <w:rsid w:val="002062E6"/>
    <w:rsid w:val="002073F8"/>
    <w:rsid w:val="00207A11"/>
    <w:rsid w:val="0021002F"/>
    <w:rsid w:val="002102DC"/>
    <w:rsid w:val="00211D52"/>
    <w:rsid w:val="00213A60"/>
    <w:rsid w:val="00217047"/>
    <w:rsid w:val="00217ADF"/>
    <w:rsid w:val="00220F6B"/>
    <w:rsid w:val="002227B3"/>
    <w:rsid w:val="00223881"/>
    <w:rsid w:val="00226D34"/>
    <w:rsid w:val="00226DA7"/>
    <w:rsid w:val="002305B5"/>
    <w:rsid w:val="002328F6"/>
    <w:rsid w:val="00232CEF"/>
    <w:rsid w:val="00232E64"/>
    <w:rsid w:val="002337D9"/>
    <w:rsid w:val="00233A6A"/>
    <w:rsid w:val="00233AFF"/>
    <w:rsid w:val="00234B48"/>
    <w:rsid w:val="00234EE8"/>
    <w:rsid w:val="00235D1A"/>
    <w:rsid w:val="002367C9"/>
    <w:rsid w:val="00237049"/>
    <w:rsid w:val="00237979"/>
    <w:rsid w:val="002408F0"/>
    <w:rsid w:val="00240B85"/>
    <w:rsid w:val="00241675"/>
    <w:rsid w:val="002419C0"/>
    <w:rsid w:val="002422FF"/>
    <w:rsid w:val="00242C05"/>
    <w:rsid w:val="002440C2"/>
    <w:rsid w:val="002444DB"/>
    <w:rsid w:val="00244C84"/>
    <w:rsid w:val="00245301"/>
    <w:rsid w:val="00245D8B"/>
    <w:rsid w:val="00245F34"/>
    <w:rsid w:val="002467CF"/>
    <w:rsid w:val="0024762E"/>
    <w:rsid w:val="00247D89"/>
    <w:rsid w:val="0025151E"/>
    <w:rsid w:val="00251E17"/>
    <w:rsid w:val="00251E89"/>
    <w:rsid w:val="0025304B"/>
    <w:rsid w:val="002534BF"/>
    <w:rsid w:val="002545A6"/>
    <w:rsid w:val="002557E9"/>
    <w:rsid w:val="0025730D"/>
    <w:rsid w:val="002601C4"/>
    <w:rsid w:val="0026068A"/>
    <w:rsid w:val="00262539"/>
    <w:rsid w:val="002631D3"/>
    <w:rsid w:val="002634DD"/>
    <w:rsid w:val="0026372C"/>
    <w:rsid w:val="00263BCB"/>
    <w:rsid w:val="0026400B"/>
    <w:rsid w:val="00264EEC"/>
    <w:rsid w:val="00265FF2"/>
    <w:rsid w:val="002667C2"/>
    <w:rsid w:val="00266DD0"/>
    <w:rsid w:val="00272ABD"/>
    <w:rsid w:val="00272F5D"/>
    <w:rsid w:val="002747E8"/>
    <w:rsid w:val="00274DDD"/>
    <w:rsid w:val="00275450"/>
    <w:rsid w:val="002761A8"/>
    <w:rsid w:val="0027741B"/>
    <w:rsid w:val="00277BB9"/>
    <w:rsid w:val="0028070F"/>
    <w:rsid w:val="00281806"/>
    <w:rsid w:val="002829A2"/>
    <w:rsid w:val="00285556"/>
    <w:rsid w:val="00285DC2"/>
    <w:rsid w:val="00286029"/>
    <w:rsid w:val="00287B94"/>
    <w:rsid w:val="00287F3E"/>
    <w:rsid w:val="0029048B"/>
    <w:rsid w:val="00293C53"/>
    <w:rsid w:val="00295781"/>
    <w:rsid w:val="002962E4"/>
    <w:rsid w:val="00296A12"/>
    <w:rsid w:val="002A036E"/>
    <w:rsid w:val="002A10AE"/>
    <w:rsid w:val="002A13AF"/>
    <w:rsid w:val="002A225E"/>
    <w:rsid w:val="002A2B97"/>
    <w:rsid w:val="002A2E16"/>
    <w:rsid w:val="002A34A1"/>
    <w:rsid w:val="002A3B36"/>
    <w:rsid w:val="002A5304"/>
    <w:rsid w:val="002A701A"/>
    <w:rsid w:val="002A7902"/>
    <w:rsid w:val="002B1140"/>
    <w:rsid w:val="002B11CF"/>
    <w:rsid w:val="002B1360"/>
    <w:rsid w:val="002B1D00"/>
    <w:rsid w:val="002B241D"/>
    <w:rsid w:val="002B2D95"/>
    <w:rsid w:val="002B4BA4"/>
    <w:rsid w:val="002B54A5"/>
    <w:rsid w:val="002B5548"/>
    <w:rsid w:val="002B63F4"/>
    <w:rsid w:val="002B7BEE"/>
    <w:rsid w:val="002C1392"/>
    <w:rsid w:val="002C1C44"/>
    <w:rsid w:val="002C5361"/>
    <w:rsid w:val="002C546E"/>
    <w:rsid w:val="002C645E"/>
    <w:rsid w:val="002C6627"/>
    <w:rsid w:val="002C7CC3"/>
    <w:rsid w:val="002D014B"/>
    <w:rsid w:val="002D09FA"/>
    <w:rsid w:val="002D269B"/>
    <w:rsid w:val="002D7918"/>
    <w:rsid w:val="002E095D"/>
    <w:rsid w:val="002E1C10"/>
    <w:rsid w:val="002E3AB5"/>
    <w:rsid w:val="002E457F"/>
    <w:rsid w:val="002E5D11"/>
    <w:rsid w:val="002E6EC8"/>
    <w:rsid w:val="002E7DAC"/>
    <w:rsid w:val="002F0774"/>
    <w:rsid w:val="002F3219"/>
    <w:rsid w:val="002F323B"/>
    <w:rsid w:val="002F329E"/>
    <w:rsid w:val="002F32A5"/>
    <w:rsid w:val="002F3A64"/>
    <w:rsid w:val="002F3B3C"/>
    <w:rsid w:val="002F4372"/>
    <w:rsid w:val="002F4D19"/>
    <w:rsid w:val="002F687F"/>
    <w:rsid w:val="002F7F31"/>
    <w:rsid w:val="00301883"/>
    <w:rsid w:val="00301BFB"/>
    <w:rsid w:val="00301FA2"/>
    <w:rsid w:val="00302A79"/>
    <w:rsid w:val="00302F80"/>
    <w:rsid w:val="00302FFB"/>
    <w:rsid w:val="00303053"/>
    <w:rsid w:val="0030337E"/>
    <w:rsid w:val="0030351C"/>
    <w:rsid w:val="00303595"/>
    <w:rsid w:val="00303923"/>
    <w:rsid w:val="00303A86"/>
    <w:rsid w:val="00303BB6"/>
    <w:rsid w:val="00304A32"/>
    <w:rsid w:val="00304B2B"/>
    <w:rsid w:val="00304EE3"/>
    <w:rsid w:val="00310C84"/>
    <w:rsid w:val="003114C6"/>
    <w:rsid w:val="00311A93"/>
    <w:rsid w:val="00312F68"/>
    <w:rsid w:val="0031341C"/>
    <w:rsid w:val="003140AE"/>
    <w:rsid w:val="003147FE"/>
    <w:rsid w:val="0031509A"/>
    <w:rsid w:val="0031560C"/>
    <w:rsid w:val="003178FB"/>
    <w:rsid w:val="00317DCD"/>
    <w:rsid w:val="00320C6B"/>
    <w:rsid w:val="0032175C"/>
    <w:rsid w:val="003222A6"/>
    <w:rsid w:val="003223B3"/>
    <w:rsid w:val="00322F4F"/>
    <w:rsid w:val="0032375E"/>
    <w:rsid w:val="0032406D"/>
    <w:rsid w:val="003243E7"/>
    <w:rsid w:val="003254B9"/>
    <w:rsid w:val="00326033"/>
    <w:rsid w:val="0032679F"/>
    <w:rsid w:val="003310FA"/>
    <w:rsid w:val="003317E0"/>
    <w:rsid w:val="00332D3B"/>
    <w:rsid w:val="003335CA"/>
    <w:rsid w:val="0033397A"/>
    <w:rsid w:val="003349AE"/>
    <w:rsid w:val="00335285"/>
    <w:rsid w:val="00336221"/>
    <w:rsid w:val="00340492"/>
    <w:rsid w:val="003407CA"/>
    <w:rsid w:val="0034191E"/>
    <w:rsid w:val="00341C31"/>
    <w:rsid w:val="003444FC"/>
    <w:rsid w:val="00344C2B"/>
    <w:rsid w:val="00344EF8"/>
    <w:rsid w:val="00345828"/>
    <w:rsid w:val="00346109"/>
    <w:rsid w:val="003469C8"/>
    <w:rsid w:val="0035121C"/>
    <w:rsid w:val="0035205C"/>
    <w:rsid w:val="00352072"/>
    <w:rsid w:val="00352361"/>
    <w:rsid w:val="00352621"/>
    <w:rsid w:val="00352732"/>
    <w:rsid w:val="00354F9A"/>
    <w:rsid w:val="00355E6D"/>
    <w:rsid w:val="003565B3"/>
    <w:rsid w:val="00356F1A"/>
    <w:rsid w:val="00356F3A"/>
    <w:rsid w:val="003574A7"/>
    <w:rsid w:val="00357CE9"/>
    <w:rsid w:val="0036039E"/>
    <w:rsid w:val="00360C49"/>
    <w:rsid w:val="00361618"/>
    <w:rsid w:val="0036173E"/>
    <w:rsid w:val="003622EE"/>
    <w:rsid w:val="00363230"/>
    <w:rsid w:val="00363CE0"/>
    <w:rsid w:val="0036435B"/>
    <w:rsid w:val="003644BA"/>
    <w:rsid w:val="00364CB1"/>
    <w:rsid w:val="00365406"/>
    <w:rsid w:val="00365413"/>
    <w:rsid w:val="00365D91"/>
    <w:rsid w:val="003700D9"/>
    <w:rsid w:val="00370FAB"/>
    <w:rsid w:val="00371F62"/>
    <w:rsid w:val="00372FD0"/>
    <w:rsid w:val="003735A3"/>
    <w:rsid w:val="003739E6"/>
    <w:rsid w:val="003753F2"/>
    <w:rsid w:val="003755B1"/>
    <w:rsid w:val="00377D34"/>
    <w:rsid w:val="0038079F"/>
    <w:rsid w:val="00380CC4"/>
    <w:rsid w:val="00380FCB"/>
    <w:rsid w:val="0038170E"/>
    <w:rsid w:val="00381949"/>
    <w:rsid w:val="0038322B"/>
    <w:rsid w:val="00383AF6"/>
    <w:rsid w:val="00383AF7"/>
    <w:rsid w:val="00383D67"/>
    <w:rsid w:val="003849DE"/>
    <w:rsid w:val="003851A3"/>
    <w:rsid w:val="00385B1E"/>
    <w:rsid w:val="003866DF"/>
    <w:rsid w:val="003867B5"/>
    <w:rsid w:val="00387190"/>
    <w:rsid w:val="00387812"/>
    <w:rsid w:val="00387901"/>
    <w:rsid w:val="003906B0"/>
    <w:rsid w:val="00391D79"/>
    <w:rsid w:val="00391DB5"/>
    <w:rsid w:val="00392031"/>
    <w:rsid w:val="003926F0"/>
    <w:rsid w:val="00396307"/>
    <w:rsid w:val="003972CB"/>
    <w:rsid w:val="00397D00"/>
    <w:rsid w:val="003A027F"/>
    <w:rsid w:val="003A09FA"/>
    <w:rsid w:val="003A147E"/>
    <w:rsid w:val="003A1FD7"/>
    <w:rsid w:val="003A4BEA"/>
    <w:rsid w:val="003A4FBA"/>
    <w:rsid w:val="003A7A50"/>
    <w:rsid w:val="003B02F4"/>
    <w:rsid w:val="003B0A01"/>
    <w:rsid w:val="003B1793"/>
    <w:rsid w:val="003B2170"/>
    <w:rsid w:val="003B272D"/>
    <w:rsid w:val="003B2B35"/>
    <w:rsid w:val="003B3444"/>
    <w:rsid w:val="003B3969"/>
    <w:rsid w:val="003B3CEA"/>
    <w:rsid w:val="003B614D"/>
    <w:rsid w:val="003B70B9"/>
    <w:rsid w:val="003B784F"/>
    <w:rsid w:val="003B7E01"/>
    <w:rsid w:val="003C0659"/>
    <w:rsid w:val="003C0F43"/>
    <w:rsid w:val="003C12AB"/>
    <w:rsid w:val="003C1CD7"/>
    <w:rsid w:val="003C2670"/>
    <w:rsid w:val="003C2ECA"/>
    <w:rsid w:val="003C411A"/>
    <w:rsid w:val="003C4BEF"/>
    <w:rsid w:val="003C50D9"/>
    <w:rsid w:val="003C519A"/>
    <w:rsid w:val="003C56DB"/>
    <w:rsid w:val="003C6AC2"/>
    <w:rsid w:val="003C6CC7"/>
    <w:rsid w:val="003C6E29"/>
    <w:rsid w:val="003D06BA"/>
    <w:rsid w:val="003D14B1"/>
    <w:rsid w:val="003D201D"/>
    <w:rsid w:val="003D2B7C"/>
    <w:rsid w:val="003D421F"/>
    <w:rsid w:val="003D4AEC"/>
    <w:rsid w:val="003D55B8"/>
    <w:rsid w:val="003D6954"/>
    <w:rsid w:val="003D6F09"/>
    <w:rsid w:val="003D76F2"/>
    <w:rsid w:val="003D7A1A"/>
    <w:rsid w:val="003E00B0"/>
    <w:rsid w:val="003E0496"/>
    <w:rsid w:val="003E103E"/>
    <w:rsid w:val="003E2831"/>
    <w:rsid w:val="003E2846"/>
    <w:rsid w:val="003E36A7"/>
    <w:rsid w:val="003E3784"/>
    <w:rsid w:val="003E3E46"/>
    <w:rsid w:val="003E4CDA"/>
    <w:rsid w:val="003E5C8A"/>
    <w:rsid w:val="003E6528"/>
    <w:rsid w:val="003E6E1E"/>
    <w:rsid w:val="003E7565"/>
    <w:rsid w:val="003E7B76"/>
    <w:rsid w:val="003E7DFA"/>
    <w:rsid w:val="003F0C0B"/>
    <w:rsid w:val="003F0C81"/>
    <w:rsid w:val="003F328B"/>
    <w:rsid w:val="003F32AE"/>
    <w:rsid w:val="003F437D"/>
    <w:rsid w:val="003F4BA6"/>
    <w:rsid w:val="003F4EC1"/>
    <w:rsid w:val="003F625F"/>
    <w:rsid w:val="003F6CC4"/>
    <w:rsid w:val="003F6E1A"/>
    <w:rsid w:val="003F7E3C"/>
    <w:rsid w:val="00401F28"/>
    <w:rsid w:val="00402417"/>
    <w:rsid w:val="00404FA7"/>
    <w:rsid w:val="0040763B"/>
    <w:rsid w:val="004110F1"/>
    <w:rsid w:val="00411AD7"/>
    <w:rsid w:val="00411CA3"/>
    <w:rsid w:val="00412EE6"/>
    <w:rsid w:val="004132C7"/>
    <w:rsid w:val="00413776"/>
    <w:rsid w:val="00413D98"/>
    <w:rsid w:val="00413F22"/>
    <w:rsid w:val="00414DD0"/>
    <w:rsid w:val="0041584A"/>
    <w:rsid w:val="0041680F"/>
    <w:rsid w:val="00416BA4"/>
    <w:rsid w:val="00416D77"/>
    <w:rsid w:val="00420648"/>
    <w:rsid w:val="00424E19"/>
    <w:rsid w:val="00426849"/>
    <w:rsid w:val="00432073"/>
    <w:rsid w:val="004321DA"/>
    <w:rsid w:val="00433779"/>
    <w:rsid w:val="004339A9"/>
    <w:rsid w:val="00434A36"/>
    <w:rsid w:val="004356AB"/>
    <w:rsid w:val="004406AB"/>
    <w:rsid w:val="00442B9D"/>
    <w:rsid w:val="00442D1B"/>
    <w:rsid w:val="004445FD"/>
    <w:rsid w:val="0044481B"/>
    <w:rsid w:val="00444925"/>
    <w:rsid w:val="00445626"/>
    <w:rsid w:val="00445AE2"/>
    <w:rsid w:val="004466EC"/>
    <w:rsid w:val="00446FA0"/>
    <w:rsid w:val="0045068C"/>
    <w:rsid w:val="00450B9F"/>
    <w:rsid w:val="00451DA5"/>
    <w:rsid w:val="00451F0F"/>
    <w:rsid w:val="00454165"/>
    <w:rsid w:val="004548C2"/>
    <w:rsid w:val="00455484"/>
    <w:rsid w:val="004573F5"/>
    <w:rsid w:val="00457861"/>
    <w:rsid w:val="00460251"/>
    <w:rsid w:val="004606B7"/>
    <w:rsid w:val="00461798"/>
    <w:rsid w:val="004618A0"/>
    <w:rsid w:val="004632B9"/>
    <w:rsid w:val="0046485D"/>
    <w:rsid w:val="0046733C"/>
    <w:rsid w:val="00467757"/>
    <w:rsid w:val="00470B9F"/>
    <w:rsid w:val="004711DF"/>
    <w:rsid w:val="00471938"/>
    <w:rsid w:val="00472298"/>
    <w:rsid w:val="00472B3E"/>
    <w:rsid w:val="00474552"/>
    <w:rsid w:val="004758DF"/>
    <w:rsid w:val="00475926"/>
    <w:rsid w:val="004759D4"/>
    <w:rsid w:val="00476517"/>
    <w:rsid w:val="004767BB"/>
    <w:rsid w:val="00477741"/>
    <w:rsid w:val="00477E8F"/>
    <w:rsid w:val="0048075E"/>
    <w:rsid w:val="004808F8"/>
    <w:rsid w:val="00481714"/>
    <w:rsid w:val="0048257B"/>
    <w:rsid w:val="00482D2A"/>
    <w:rsid w:val="00485F77"/>
    <w:rsid w:val="004875DE"/>
    <w:rsid w:val="004907CC"/>
    <w:rsid w:val="00491334"/>
    <w:rsid w:val="00492693"/>
    <w:rsid w:val="00493852"/>
    <w:rsid w:val="00493A58"/>
    <w:rsid w:val="00494BFB"/>
    <w:rsid w:val="00495C85"/>
    <w:rsid w:val="004962F0"/>
    <w:rsid w:val="004963FF"/>
    <w:rsid w:val="004A03AC"/>
    <w:rsid w:val="004A244C"/>
    <w:rsid w:val="004A267A"/>
    <w:rsid w:val="004A2912"/>
    <w:rsid w:val="004A3574"/>
    <w:rsid w:val="004A401F"/>
    <w:rsid w:val="004A54ED"/>
    <w:rsid w:val="004A7E7F"/>
    <w:rsid w:val="004B0781"/>
    <w:rsid w:val="004B0B6F"/>
    <w:rsid w:val="004B110D"/>
    <w:rsid w:val="004B2877"/>
    <w:rsid w:val="004B28BC"/>
    <w:rsid w:val="004B3C78"/>
    <w:rsid w:val="004B45F5"/>
    <w:rsid w:val="004B51DA"/>
    <w:rsid w:val="004B687B"/>
    <w:rsid w:val="004B72F0"/>
    <w:rsid w:val="004C0665"/>
    <w:rsid w:val="004C074A"/>
    <w:rsid w:val="004C0D63"/>
    <w:rsid w:val="004C0F0C"/>
    <w:rsid w:val="004C191D"/>
    <w:rsid w:val="004C43B9"/>
    <w:rsid w:val="004C4978"/>
    <w:rsid w:val="004C53A5"/>
    <w:rsid w:val="004C53C3"/>
    <w:rsid w:val="004C54CC"/>
    <w:rsid w:val="004C56E5"/>
    <w:rsid w:val="004D0206"/>
    <w:rsid w:val="004D2010"/>
    <w:rsid w:val="004D26F3"/>
    <w:rsid w:val="004D3D9F"/>
    <w:rsid w:val="004D3FDB"/>
    <w:rsid w:val="004D50F0"/>
    <w:rsid w:val="004D6248"/>
    <w:rsid w:val="004D6E67"/>
    <w:rsid w:val="004D6EF7"/>
    <w:rsid w:val="004E0560"/>
    <w:rsid w:val="004E090A"/>
    <w:rsid w:val="004E0C55"/>
    <w:rsid w:val="004E13F8"/>
    <w:rsid w:val="004E1848"/>
    <w:rsid w:val="004E1958"/>
    <w:rsid w:val="004E2804"/>
    <w:rsid w:val="004E2938"/>
    <w:rsid w:val="004E35A5"/>
    <w:rsid w:val="004E380D"/>
    <w:rsid w:val="004E46F2"/>
    <w:rsid w:val="004E4E48"/>
    <w:rsid w:val="004E54CD"/>
    <w:rsid w:val="004E6A04"/>
    <w:rsid w:val="004F131F"/>
    <w:rsid w:val="004F29E2"/>
    <w:rsid w:val="004F3499"/>
    <w:rsid w:val="004F38A6"/>
    <w:rsid w:val="004F3A57"/>
    <w:rsid w:val="004F3D59"/>
    <w:rsid w:val="004F593C"/>
    <w:rsid w:val="004F5F15"/>
    <w:rsid w:val="004F6E5C"/>
    <w:rsid w:val="004F7317"/>
    <w:rsid w:val="00500E63"/>
    <w:rsid w:val="005031FF"/>
    <w:rsid w:val="005034F3"/>
    <w:rsid w:val="0050371E"/>
    <w:rsid w:val="00503984"/>
    <w:rsid w:val="00504946"/>
    <w:rsid w:val="00506EBE"/>
    <w:rsid w:val="00507122"/>
    <w:rsid w:val="00507328"/>
    <w:rsid w:val="005109F6"/>
    <w:rsid w:val="00510AB4"/>
    <w:rsid w:val="00511DE7"/>
    <w:rsid w:val="0051206F"/>
    <w:rsid w:val="005120ED"/>
    <w:rsid w:val="00515CE4"/>
    <w:rsid w:val="005160F9"/>
    <w:rsid w:val="005166D8"/>
    <w:rsid w:val="00516793"/>
    <w:rsid w:val="005171C6"/>
    <w:rsid w:val="005204BC"/>
    <w:rsid w:val="00520FC7"/>
    <w:rsid w:val="00522918"/>
    <w:rsid w:val="005229CD"/>
    <w:rsid w:val="00522BB1"/>
    <w:rsid w:val="00524183"/>
    <w:rsid w:val="0052441F"/>
    <w:rsid w:val="005245A0"/>
    <w:rsid w:val="00524F55"/>
    <w:rsid w:val="00525702"/>
    <w:rsid w:val="005261C1"/>
    <w:rsid w:val="0052737F"/>
    <w:rsid w:val="0053133A"/>
    <w:rsid w:val="00531DC1"/>
    <w:rsid w:val="005331AE"/>
    <w:rsid w:val="00533493"/>
    <w:rsid w:val="00535A8D"/>
    <w:rsid w:val="00535C49"/>
    <w:rsid w:val="00535DBB"/>
    <w:rsid w:val="00536361"/>
    <w:rsid w:val="00537732"/>
    <w:rsid w:val="0054037F"/>
    <w:rsid w:val="005406E4"/>
    <w:rsid w:val="005409EF"/>
    <w:rsid w:val="00541BA7"/>
    <w:rsid w:val="005426C7"/>
    <w:rsid w:val="00542D5D"/>
    <w:rsid w:val="005435FC"/>
    <w:rsid w:val="00543CE3"/>
    <w:rsid w:val="00544196"/>
    <w:rsid w:val="00544298"/>
    <w:rsid w:val="005452B6"/>
    <w:rsid w:val="0054581A"/>
    <w:rsid w:val="005458F3"/>
    <w:rsid w:val="00551CAD"/>
    <w:rsid w:val="0055472C"/>
    <w:rsid w:val="00554E73"/>
    <w:rsid w:val="00555960"/>
    <w:rsid w:val="005560F3"/>
    <w:rsid w:val="00556799"/>
    <w:rsid w:val="00556EAA"/>
    <w:rsid w:val="0055752D"/>
    <w:rsid w:val="005579F3"/>
    <w:rsid w:val="00560E06"/>
    <w:rsid w:val="00560F4F"/>
    <w:rsid w:val="00562706"/>
    <w:rsid w:val="00562C2F"/>
    <w:rsid w:val="00563CCE"/>
    <w:rsid w:val="00565625"/>
    <w:rsid w:val="0056619B"/>
    <w:rsid w:val="005703AD"/>
    <w:rsid w:val="005722FD"/>
    <w:rsid w:val="00573CAC"/>
    <w:rsid w:val="00575563"/>
    <w:rsid w:val="005768C9"/>
    <w:rsid w:val="00580729"/>
    <w:rsid w:val="00581299"/>
    <w:rsid w:val="00582982"/>
    <w:rsid w:val="0058308A"/>
    <w:rsid w:val="00583C94"/>
    <w:rsid w:val="00584496"/>
    <w:rsid w:val="0058580F"/>
    <w:rsid w:val="005858C9"/>
    <w:rsid w:val="0058680C"/>
    <w:rsid w:val="00587355"/>
    <w:rsid w:val="00590526"/>
    <w:rsid w:val="00590E41"/>
    <w:rsid w:val="005941AD"/>
    <w:rsid w:val="00594802"/>
    <w:rsid w:val="00594A9B"/>
    <w:rsid w:val="00595527"/>
    <w:rsid w:val="00595756"/>
    <w:rsid w:val="0059654C"/>
    <w:rsid w:val="00597E3C"/>
    <w:rsid w:val="005A0AF1"/>
    <w:rsid w:val="005A11BE"/>
    <w:rsid w:val="005A17E5"/>
    <w:rsid w:val="005A1B2F"/>
    <w:rsid w:val="005A2352"/>
    <w:rsid w:val="005A3061"/>
    <w:rsid w:val="005A366E"/>
    <w:rsid w:val="005A51FA"/>
    <w:rsid w:val="005A59CC"/>
    <w:rsid w:val="005A5AB4"/>
    <w:rsid w:val="005A6403"/>
    <w:rsid w:val="005A656F"/>
    <w:rsid w:val="005A7D76"/>
    <w:rsid w:val="005B1D25"/>
    <w:rsid w:val="005B343F"/>
    <w:rsid w:val="005B5A43"/>
    <w:rsid w:val="005C03EA"/>
    <w:rsid w:val="005C088A"/>
    <w:rsid w:val="005C0BE6"/>
    <w:rsid w:val="005C148D"/>
    <w:rsid w:val="005C19EE"/>
    <w:rsid w:val="005C2FEB"/>
    <w:rsid w:val="005C3A32"/>
    <w:rsid w:val="005C4FFD"/>
    <w:rsid w:val="005C5321"/>
    <w:rsid w:val="005C5579"/>
    <w:rsid w:val="005C6ADC"/>
    <w:rsid w:val="005C6BD5"/>
    <w:rsid w:val="005C7068"/>
    <w:rsid w:val="005C7714"/>
    <w:rsid w:val="005D13AB"/>
    <w:rsid w:val="005D1A2B"/>
    <w:rsid w:val="005D278C"/>
    <w:rsid w:val="005D3674"/>
    <w:rsid w:val="005D3B79"/>
    <w:rsid w:val="005D4442"/>
    <w:rsid w:val="005D46D2"/>
    <w:rsid w:val="005D664F"/>
    <w:rsid w:val="005D77D6"/>
    <w:rsid w:val="005E02AA"/>
    <w:rsid w:val="005E06D7"/>
    <w:rsid w:val="005E263A"/>
    <w:rsid w:val="005E5736"/>
    <w:rsid w:val="005E57AA"/>
    <w:rsid w:val="005E5ACA"/>
    <w:rsid w:val="005E7372"/>
    <w:rsid w:val="005F1AB9"/>
    <w:rsid w:val="005F1B49"/>
    <w:rsid w:val="005F2DC3"/>
    <w:rsid w:val="005F301B"/>
    <w:rsid w:val="005F3A78"/>
    <w:rsid w:val="005F3CBA"/>
    <w:rsid w:val="005F41D3"/>
    <w:rsid w:val="005F4C27"/>
    <w:rsid w:val="005F5ADF"/>
    <w:rsid w:val="005F60FD"/>
    <w:rsid w:val="005F7879"/>
    <w:rsid w:val="005F7BFB"/>
    <w:rsid w:val="005F7D5C"/>
    <w:rsid w:val="00600125"/>
    <w:rsid w:val="00600608"/>
    <w:rsid w:val="00601BC2"/>
    <w:rsid w:val="00603238"/>
    <w:rsid w:val="006035A3"/>
    <w:rsid w:val="006041DE"/>
    <w:rsid w:val="00604A70"/>
    <w:rsid w:val="00604DAB"/>
    <w:rsid w:val="00605283"/>
    <w:rsid w:val="0060605D"/>
    <w:rsid w:val="00607644"/>
    <w:rsid w:val="00607E2B"/>
    <w:rsid w:val="0061114F"/>
    <w:rsid w:val="00612624"/>
    <w:rsid w:val="0061306E"/>
    <w:rsid w:val="0061524A"/>
    <w:rsid w:val="006153A9"/>
    <w:rsid w:val="00615EA1"/>
    <w:rsid w:val="006167A1"/>
    <w:rsid w:val="00617960"/>
    <w:rsid w:val="00621C6A"/>
    <w:rsid w:val="0062551C"/>
    <w:rsid w:val="0062568A"/>
    <w:rsid w:val="00625FCE"/>
    <w:rsid w:val="0062627E"/>
    <w:rsid w:val="006269E1"/>
    <w:rsid w:val="00627226"/>
    <w:rsid w:val="0062750E"/>
    <w:rsid w:val="006275FF"/>
    <w:rsid w:val="006278F1"/>
    <w:rsid w:val="00627E6B"/>
    <w:rsid w:val="0063067E"/>
    <w:rsid w:val="00630C7B"/>
    <w:rsid w:val="00632013"/>
    <w:rsid w:val="006337CB"/>
    <w:rsid w:val="00633B69"/>
    <w:rsid w:val="00635234"/>
    <w:rsid w:val="00635B49"/>
    <w:rsid w:val="0063758D"/>
    <w:rsid w:val="00637816"/>
    <w:rsid w:val="006378FC"/>
    <w:rsid w:val="00637E89"/>
    <w:rsid w:val="0064081E"/>
    <w:rsid w:val="006417F3"/>
    <w:rsid w:val="00642683"/>
    <w:rsid w:val="00642AFE"/>
    <w:rsid w:val="00643B44"/>
    <w:rsid w:val="00644356"/>
    <w:rsid w:val="00644544"/>
    <w:rsid w:val="0064499F"/>
    <w:rsid w:val="00645B44"/>
    <w:rsid w:val="0064624D"/>
    <w:rsid w:val="006467F0"/>
    <w:rsid w:val="006472A4"/>
    <w:rsid w:val="00647419"/>
    <w:rsid w:val="006478A6"/>
    <w:rsid w:val="00647AF8"/>
    <w:rsid w:val="006506D4"/>
    <w:rsid w:val="00650ABE"/>
    <w:rsid w:val="006511BE"/>
    <w:rsid w:val="006516AC"/>
    <w:rsid w:val="00652BCE"/>
    <w:rsid w:val="00657DF6"/>
    <w:rsid w:val="00660CE5"/>
    <w:rsid w:val="006612B0"/>
    <w:rsid w:val="006627D4"/>
    <w:rsid w:val="006630D3"/>
    <w:rsid w:val="0066401A"/>
    <w:rsid w:val="006640D2"/>
    <w:rsid w:val="0066417F"/>
    <w:rsid w:val="00664366"/>
    <w:rsid w:val="006659D1"/>
    <w:rsid w:val="00665E17"/>
    <w:rsid w:val="00665E43"/>
    <w:rsid w:val="006666FA"/>
    <w:rsid w:val="006669DE"/>
    <w:rsid w:val="00666F30"/>
    <w:rsid w:val="0066723C"/>
    <w:rsid w:val="006674C7"/>
    <w:rsid w:val="00667793"/>
    <w:rsid w:val="00667FE2"/>
    <w:rsid w:val="006705B1"/>
    <w:rsid w:val="0067231A"/>
    <w:rsid w:val="00673350"/>
    <w:rsid w:val="00674690"/>
    <w:rsid w:val="00674C7F"/>
    <w:rsid w:val="00675102"/>
    <w:rsid w:val="006770DB"/>
    <w:rsid w:val="006779DE"/>
    <w:rsid w:val="00680A48"/>
    <w:rsid w:val="00680E0F"/>
    <w:rsid w:val="00682D5F"/>
    <w:rsid w:val="00683E90"/>
    <w:rsid w:val="00685557"/>
    <w:rsid w:val="00686312"/>
    <w:rsid w:val="00686CD7"/>
    <w:rsid w:val="006903A5"/>
    <w:rsid w:val="0069099E"/>
    <w:rsid w:val="00690A19"/>
    <w:rsid w:val="006915C1"/>
    <w:rsid w:val="00692613"/>
    <w:rsid w:val="0069434A"/>
    <w:rsid w:val="0069529B"/>
    <w:rsid w:val="006955B9"/>
    <w:rsid w:val="006975E9"/>
    <w:rsid w:val="00697935"/>
    <w:rsid w:val="006979B1"/>
    <w:rsid w:val="006A11E6"/>
    <w:rsid w:val="006A144B"/>
    <w:rsid w:val="006A1EE1"/>
    <w:rsid w:val="006A1F1B"/>
    <w:rsid w:val="006A2DF6"/>
    <w:rsid w:val="006A3603"/>
    <w:rsid w:val="006A4EA1"/>
    <w:rsid w:val="006A5118"/>
    <w:rsid w:val="006A689E"/>
    <w:rsid w:val="006A6935"/>
    <w:rsid w:val="006A7487"/>
    <w:rsid w:val="006A79A5"/>
    <w:rsid w:val="006B15C1"/>
    <w:rsid w:val="006B1794"/>
    <w:rsid w:val="006B40A4"/>
    <w:rsid w:val="006B65A6"/>
    <w:rsid w:val="006B6F93"/>
    <w:rsid w:val="006C15C3"/>
    <w:rsid w:val="006C3DC4"/>
    <w:rsid w:val="006C57CE"/>
    <w:rsid w:val="006C5CBD"/>
    <w:rsid w:val="006C6BBE"/>
    <w:rsid w:val="006C6CB4"/>
    <w:rsid w:val="006D2794"/>
    <w:rsid w:val="006D4188"/>
    <w:rsid w:val="006D42F7"/>
    <w:rsid w:val="006D5954"/>
    <w:rsid w:val="006D68D7"/>
    <w:rsid w:val="006D7520"/>
    <w:rsid w:val="006D7BE5"/>
    <w:rsid w:val="006E0157"/>
    <w:rsid w:val="006E0495"/>
    <w:rsid w:val="006E1AF5"/>
    <w:rsid w:val="006E2657"/>
    <w:rsid w:val="006E45E5"/>
    <w:rsid w:val="006E4853"/>
    <w:rsid w:val="006E6523"/>
    <w:rsid w:val="006E6705"/>
    <w:rsid w:val="006E72BE"/>
    <w:rsid w:val="006F01A3"/>
    <w:rsid w:val="006F15EF"/>
    <w:rsid w:val="006F4021"/>
    <w:rsid w:val="006F4288"/>
    <w:rsid w:val="006F640E"/>
    <w:rsid w:val="006F6505"/>
    <w:rsid w:val="00700914"/>
    <w:rsid w:val="00702016"/>
    <w:rsid w:val="00702F6A"/>
    <w:rsid w:val="007037A0"/>
    <w:rsid w:val="00703900"/>
    <w:rsid w:val="00703B9C"/>
    <w:rsid w:val="00703DDC"/>
    <w:rsid w:val="007044B8"/>
    <w:rsid w:val="007045DF"/>
    <w:rsid w:val="007047BA"/>
    <w:rsid w:val="00704D2F"/>
    <w:rsid w:val="00705166"/>
    <w:rsid w:val="00705C7E"/>
    <w:rsid w:val="00707022"/>
    <w:rsid w:val="007079C6"/>
    <w:rsid w:val="00710DD7"/>
    <w:rsid w:val="007117FB"/>
    <w:rsid w:val="00711D3D"/>
    <w:rsid w:val="00711EA6"/>
    <w:rsid w:val="00711FA6"/>
    <w:rsid w:val="00714197"/>
    <w:rsid w:val="007143B3"/>
    <w:rsid w:val="00714BC0"/>
    <w:rsid w:val="00714D1A"/>
    <w:rsid w:val="0071591D"/>
    <w:rsid w:val="00716B72"/>
    <w:rsid w:val="00717BE8"/>
    <w:rsid w:val="00717F27"/>
    <w:rsid w:val="00720980"/>
    <w:rsid w:val="00720C89"/>
    <w:rsid w:val="007216DE"/>
    <w:rsid w:val="007221CA"/>
    <w:rsid w:val="00730FC9"/>
    <w:rsid w:val="007314CA"/>
    <w:rsid w:val="0073271E"/>
    <w:rsid w:val="00733581"/>
    <w:rsid w:val="00733C31"/>
    <w:rsid w:val="00733E48"/>
    <w:rsid w:val="00733E74"/>
    <w:rsid w:val="007372E4"/>
    <w:rsid w:val="00737970"/>
    <w:rsid w:val="00740507"/>
    <w:rsid w:val="00740CA5"/>
    <w:rsid w:val="00740E53"/>
    <w:rsid w:val="00741386"/>
    <w:rsid w:val="00741492"/>
    <w:rsid w:val="00744094"/>
    <w:rsid w:val="007444C2"/>
    <w:rsid w:val="00744CAC"/>
    <w:rsid w:val="007462AC"/>
    <w:rsid w:val="00751D40"/>
    <w:rsid w:val="00753B68"/>
    <w:rsid w:val="00754BF2"/>
    <w:rsid w:val="00755119"/>
    <w:rsid w:val="007553B7"/>
    <w:rsid w:val="00755A47"/>
    <w:rsid w:val="007567B6"/>
    <w:rsid w:val="00756D0F"/>
    <w:rsid w:val="007575A2"/>
    <w:rsid w:val="0075785E"/>
    <w:rsid w:val="00760968"/>
    <w:rsid w:val="00761DE4"/>
    <w:rsid w:val="0076496F"/>
    <w:rsid w:val="007672FC"/>
    <w:rsid w:val="00770234"/>
    <w:rsid w:val="007704D7"/>
    <w:rsid w:val="00770519"/>
    <w:rsid w:val="00770AA6"/>
    <w:rsid w:val="0077214B"/>
    <w:rsid w:val="007724C0"/>
    <w:rsid w:val="00772FB9"/>
    <w:rsid w:val="00773CA8"/>
    <w:rsid w:val="00774198"/>
    <w:rsid w:val="00774AA8"/>
    <w:rsid w:val="00774AB7"/>
    <w:rsid w:val="00775119"/>
    <w:rsid w:val="00775E64"/>
    <w:rsid w:val="00781ACF"/>
    <w:rsid w:val="00781E74"/>
    <w:rsid w:val="00782B23"/>
    <w:rsid w:val="00783226"/>
    <w:rsid w:val="00784288"/>
    <w:rsid w:val="007876F8"/>
    <w:rsid w:val="0078787B"/>
    <w:rsid w:val="00787D5F"/>
    <w:rsid w:val="007928A3"/>
    <w:rsid w:val="007928AE"/>
    <w:rsid w:val="00793743"/>
    <w:rsid w:val="007972E7"/>
    <w:rsid w:val="00797461"/>
    <w:rsid w:val="00797996"/>
    <w:rsid w:val="007A5AE8"/>
    <w:rsid w:val="007A647E"/>
    <w:rsid w:val="007A709C"/>
    <w:rsid w:val="007A7FB9"/>
    <w:rsid w:val="007B02A2"/>
    <w:rsid w:val="007B0977"/>
    <w:rsid w:val="007B142C"/>
    <w:rsid w:val="007B5814"/>
    <w:rsid w:val="007B6BA2"/>
    <w:rsid w:val="007B7FEE"/>
    <w:rsid w:val="007C0512"/>
    <w:rsid w:val="007C2039"/>
    <w:rsid w:val="007C2CDB"/>
    <w:rsid w:val="007C3D2C"/>
    <w:rsid w:val="007C4101"/>
    <w:rsid w:val="007C41E4"/>
    <w:rsid w:val="007C51B7"/>
    <w:rsid w:val="007C57B4"/>
    <w:rsid w:val="007C7809"/>
    <w:rsid w:val="007C7CD2"/>
    <w:rsid w:val="007D093A"/>
    <w:rsid w:val="007D09D5"/>
    <w:rsid w:val="007D0AB1"/>
    <w:rsid w:val="007D2516"/>
    <w:rsid w:val="007D2BEF"/>
    <w:rsid w:val="007D4DC2"/>
    <w:rsid w:val="007D58B7"/>
    <w:rsid w:val="007D5F33"/>
    <w:rsid w:val="007D7408"/>
    <w:rsid w:val="007E0A75"/>
    <w:rsid w:val="007E0F52"/>
    <w:rsid w:val="007E20F6"/>
    <w:rsid w:val="007E2969"/>
    <w:rsid w:val="007E31E1"/>
    <w:rsid w:val="007E517B"/>
    <w:rsid w:val="007E7586"/>
    <w:rsid w:val="007E7EBD"/>
    <w:rsid w:val="007F0AB0"/>
    <w:rsid w:val="007F0F87"/>
    <w:rsid w:val="007F2C3D"/>
    <w:rsid w:val="007F432D"/>
    <w:rsid w:val="007F49BA"/>
    <w:rsid w:val="007F7025"/>
    <w:rsid w:val="007F7168"/>
    <w:rsid w:val="007F71B3"/>
    <w:rsid w:val="008003D8"/>
    <w:rsid w:val="00800796"/>
    <w:rsid w:val="008007C8"/>
    <w:rsid w:val="008009B4"/>
    <w:rsid w:val="00800D1D"/>
    <w:rsid w:val="008022B3"/>
    <w:rsid w:val="00802D85"/>
    <w:rsid w:val="00804013"/>
    <w:rsid w:val="008047C6"/>
    <w:rsid w:val="00804888"/>
    <w:rsid w:val="00804DF1"/>
    <w:rsid w:val="008052A7"/>
    <w:rsid w:val="008052EB"/>
    <w:rsid w:val="008059CD"/>
    <w:rsid w:val="008062C5"/>
    <w:rsid w:val="00806303"/>
    <w:rsid w:val="0080632D"/>
    <w:rsid w:val="00807055"/>
    <w:rsid w:val="00807581"/>
    <w:rsid w:val="00810976"/>
    <w:rsid w:val="008116F0"/>
    <w:rsid w:val="00813FC8"/>
    <w:rsid w:val="00814748"/>
    <w:rsid w:val="00814ED5"/>
    <w:rsid w:val="00815120"/>
    <w:rsid w:val="008177FD"/>
    <w:rsid w:val="008178FB"/>
    <w:rsid w:val="00817BB3"/>
    <w:rsid w:val="00821D45"/>
    <w:rsid w:val="0082259B"/>
    <w:rsid w:val="008235F0"/>
    <w:rsid w:val="00823DC5"/>
    <w:rsid w:val="0082477C"/>
    <w:rsid w:val="0082499F"/>
    <w:rsid w:val="00824F46"/>
    <w:rsid w:val="00825093"/>
    <w:rsid w:val="00825701"/>
    <w:rsid w:val="00825A5C"/>
    <w:rsid w:val="00825B7D"/>
    <w:rsid w:val="00826910"/>
    <w:rsid w:val="00827DE6"/>
    <w:rsid w:val="008318D4"/>
    <w:rsid w:val="00831D72"/>
    <w:rsid w:val="00832F72"/>
    <w:rsid w:val="00833178"/>
    <w:rsid w:val="008338D1"/>
    <w:rsid w:val="00833FCA"/>
    <w:rsid w:val="00834B0C"/>
    <w:rsid w:val="00835A99"/>
    <w:rsid w:val="00835BA4"/>
    <w:rsid w:val="008369A0"/>
    <w:rsid w:val="00837068"/>
    <w:rsid w:val="008379FE"/>
    <w:rsid w:val="00837F23"/>
    <w:rsid w:val="00837F69"/>
    <w:rsid w:val="0084027B"/>
    <w:rsid w:val="008405F9"/>
    <w:rsid w:val="00842653"/>
    <w:rsid w:val="00842864"/>
    <w:rsid w:val="00842E3E"/>
    <w:rsid w:val="0084335A"/>
    <w:rsid w:val="00845681"/>
    <w:rsid w:val="00846F17"/>
    <w:rsid w:val="00847A3A"/>
    <w:rsid w:val="008518E1"/>
    <w:rsid w:val="0085191B"/>
    <w:rsid w:val="008530EA"/>
    <w:rsid w:val="00854E0B"/>
    <w:rsid w:val="008556F2"/>
    <w:rsid w:val="0085600A"/>
    <w:rsid w:val="008565EF"/>
    <w:rsid w:val="008575E6"/>
    <w:rsid w:val="008602E7"/>
    <w:rsid w:val="008604E3"/>
    <w:rsid w:val="00860E5D"/>
    <w:rsid w:val="00861708"/>
    <w:rsid w:val="00862019"/>
    <w:rsid w:val="008626FB"/>
    <w:rsid w:val="0086296B"/>
    <w:rsid w:val="00863141"/>
    <w:rsid w:val="008633AC"/>
    <w:rsid w:val="00863AEE"/>
    <w:rsid w:val="00865ED4"/>
    <w:rsid w:val="00866266"/>
    <w:rsid w:val="00867359"/>
    <w:rsid w:val="00867786"/>
    <w:rsid w:val="00870FDF"/>
    <w:rsid w:val="0087177B"/>
    <w:rsid w:val="00871AF9"/>
    <w:rsid w:val="00871B1D"/>
    <w:rsid w:val="008731B0"/>
    <w:rsid w:val="008734DB"/>
    <w:rsid w:val="00874B60"/>
    <w:rsid w:val="00875E23"/>
    <w:rsid w:val="00876126"/>
    <w:rsid w:val="00880AEE"/>
    <w:rsid w:val="00880C70"/>
    <w:rsid w:val="0088122B"/>
    <w:rsid w:val="008814CE"/>
    <w:rsid w:val="00881FC6"/>
    <w:rsid w:val="008821D2"/>
    <w:rsid w:val="00882BA9"/>
    <w:rsid w:val="00882C48"/>
    <w:rsid w:val="00882CE0"/>
    <w:rsid w:val="00882D30"/>
    <w:rsid w:val="0088365D"/>
    <w:rsid w:val="00883893"/>
    <w:rsid w:val="00883A27"/>
    <w:rsid w:val="00884F8F"/>
    <w:rsid w:val="00886112"/>
    <w:rsid w:val="0088678E"/>
    <w:rsid w:val="00886A58"/>
    <w:rsid w:val="00887CFA"/>
    <w:rsid w:val="00887D58"/>
    <w:rsid w:val="00893395"/>
    <w:rsid w:val="00895178"/>
    <w:rsid w:val="008962E0"/>
    <w:rsid w:val="008A09E7"/>
    <w:rsid w:val="008A0B9D"/>
    <w:rsid w:val="008A0E87"/>
    <w:rsid w:val="008A124E"/>
    <w:rsid w:val="008A44E9"/>
    <w:rsid w:val="008A450D"/>
    <w:rsid w:val="008A4ED8"/>
    <w:rsid w:val="008A59E0"/>
    <w:rsid w:val="008A6628"/>
    <w:rsid w:val="008B0CBD"/>
    <w:rsid w:val="008B2441"/>
    <w:rsid w:val="008B590C"/>
    <w:rsid w:val="008B5B04"/>
    <w:rsid w:val="008B68C6"/>
    <w:rsid w:val="008B7B1D"/>
    <w:rsid w:val="008C01EE"/>
    <w:rsid w:val="008C129A"/>
    <w:rsid w:val="008C1E2B"/>
    <w:rsid w:val="008C1F44"/>
    <w:rsid w:val="008C32BD"/>
    <w:rsid w:val="008C4471"/>
    <w:rsid w:val="008D15EE"/>
    <w:rsid w:val="008D2013"/>
    <w:rsid w:val="008D2442"/>
    <w:rsid w:val="008D2CE0"/>
    <w:rsid w:val="008D3028"/>
    <w:rsid w:val="008D46D5"/>
    <w:rsid w:val="008D5482"/>
    <w:rsid w:val="008E0051"/>
    <w:rsid w:val="008E222B"/>
    <w:rsid w:val="008E2250"/>
    <w:rsid w:val="008E2CE2"/>
    <w:rsid w:val="008E360C"/>
    <w:rsid w:val="008E4015"/>
    <w:rsid w:val="008E4D13"/>
    <w:rsid w:val="008E5D89"/>
    <w:rsid w:val="008E74E5"/>
    <w:rsid w:val="008F03C7"/>
    <w:rsid w:val="008F2042"/>
    <w:rsid w:val="008F2A15"/>
    <w:rsid w:val="008F3A7F"/>
    <w:rsid w:val="008F4E3B"/>
    <w:rsid w:val="008F4F39"/>
    <w:rsid w:val="008F5653"/>
    <w:rsid w:val="008F672A"/>
    <w:rsid w:val="008F6EB2"/>
    <w:rsid w:val="008F7F9F"/>
    <w:rsid w:val="00900F51"/>
    <w:rsid w:val="00901442"/>
    <w:rsid w:val="00903491"/>
    <w:rsid w:val="00903DCF"/>
    <w:rsid w:val="00903E7B"/>
    <w:rsid w:val="00904E9C"/>
    <w:rsid w:val="009057B8"/>
    <w:rsid w:val="00905E4A"/>
    <w:rsid w:val="00907AE6"/>
    <w:rsid w:val="00910163"/>
    <w:rsid w:val="0091024C"/>
    <w:rsid w:val="00910F57"/>
    <w:rsid w:val="00912A2B"/>
    <w:rsid w:val="00912E0A"/>
    <w:rsid w:val="00913D0D"/>
    <w:rsid w:val="0091642F"/>
    <w:rsid w:val="00917A22"/>
    <w:rsid w:val="00917BC3"/>
    <w:rsid w:val="009200DA"/>
    <w:rsid w:val="00920885"/>
    <w:rsid w:val="00921D36"/>
    <w:rsid w:val="0092336C"/>
    <w:rsid w:val="009235C0"/>
    <w:rsid w:val="00923BEE"/>
    <w:rsid w:val="00926809"/>
    <w:rsid w:val="00926C91"/>
    <w:rsid w:val="00927232"/>
    <w:rsid w:val="009273CD"/>
    <w:rsid w:val="00927EBD"/>
    <w:rsid w:val="00930445"/>
    <w:rsid w:val="0093087A"/>
    <w:rsid w:val="00930D0F"/>
    <w:rsid w:val="0093180D"/>
    <w:rsid w:val="009325EF"/>
    <w:rsid w:val="00933A2B"/>
    <w:rsid w:val="0093433D"/>
    <w:rsid w:val="0093516C"/>
    <w:rsid w:val="00935E31"/>
    <w:rsid w:val="009376A6"/>
    <w:rsid w:val="0093772B"/>
    <w:rsid w:val="00937E3F"/>
    <w:rsid w:val="00940229"/>
    <w:rsid w:val="00940839"/>
    <w:rsid w:val="00940A6E"/>
    <w:rsid w:val="0094344B"/>
    <w:rsid w:val="009454A2"/>
    <w:rsid w:val="00945F22"/>
    <w:rsid w:val="00945F4A"/>
    <w:rsid w:val="00947552"/>
    <w:rsid w:val="00951526"/>
    <w:rsid w:val="0095308C"/>
    <w:rsid w:val="009530C2"/>
    <w:rsid w:val="009538F2"/>
    <w:rsid w:val="00953D9C"/>
    <w:rsid w:val="009551D3"/>
    <w:rsid w:val="00955A04"/>
    <w:rsid w:val="009560D4"/>
    <w:rsid w:val="00956BF8"/>
    <w:rsid w:val="00957166"/>
    <w:rsid w:val="00957966"/>
    <w:rsid w:val="0096188D"/>
    <w:rsid w:val="00961CC1"/>
    <w:rsid w:val="00962F16"/>
    <w:rsid w:val="00963F49"/>
    <w:rsid w:val="009643F5"/>
    <w:rsid w:val="0096660F"/>
    <w:rsid w:val="00966754"/>
    <w:rsid w:val="00966D3D"/>
    <w:rsid w:val="00966D57"/>
    <w:rsid w:val="009675C5"/>
    <w:rsid w:val="00970140"/>
    <w:rsid w:val="00970839"/>
    <w:rsid w:val="00970A61"/>
    <w:rsid w:val="00970CE4"/>
    <w:rsid w:val="009711E0"/>
    <w:rsid w:val="00971F6B"/>
    <w:rsid w:val="00973206"/>
    <w:rsid w:val="009742B9"/>
    <w:rsid w:val="0097544C"/>
    <w:rsid w:val="00977F83"/>
    <w:rsid w:val="009821C2"/>
    <w:rsid w:val="00982528"/>
    <w:rsid w:val="0098407B"/>
    <w:rsid w:val="00984098"/>
    <w:rsid w:val="009854CF"/>
    <w:rsid w:val="009856E8"/>
    <w:rsid w:val="0098628C"/>
    <w:rsid w:val="00986585"/>
    <w:rsid w:val="009903C1"/>
    <w:rsid w:val="0099138C"/>
    <w:rsid w:val="009913FA"/>
    <w:rsid w:val="0099151A"/>
    <w:rsid w:val="009920AE"/>
    <w:rsid w:val="00992B40"/>
    <w:rsid w:val="00992BE3"/>
    <w:rsid w:val="00993224"/>
    <w:rsid w:val="009934A0"/>
    <w:rsid w:val="00995C88"/>
    <w:rsid w:val="00997943"/>
    <w:rsid w:val="00997F4F"/>
    <w:rsid w:val="009A1033"/>
    <w:rsid w:val="009A1F58"/>
    <w:rsid w:val="009A3DD7"/>
    <w:rsid w:val="009A49D7"/>
    <w:rsid w:val="009A4AC6"/>
    <w:rsid w:val="009A58BD"/>
    <w:rsid w:val="009A605A"/>
    <w:rsid w:val="009A728B"/>
    <w:rsid w:val="009B02CA"/>
    <w:rsid w:val="009B12D9"/>
    <w:rsid w:val="009B1FA8"/>
    <w:rsid w:val="009B2CB6"/>
    <w:rsid w:val="009B3604"/>
    <w:rsid w:val="009B52E0"/>
    <w:rsid w:val="009B7474"/>
    <w:rsid w:val="009B7F5A"/>
    <w:rsid w:val="009C33B1"/>
    <w:rsid w:val="009C4AC6"/>
    <w:rsid w:val="009C5427"/>
    <w:rsid w:val="009C7806"/>
    <w:rsid w:val="009C79D1"/>
    <w:rsid w:val="009C7D20"/>
    <w:rsid w:val="009D0491"/>
    <w:rsid w:val="009D0A0D"/>
    <w:rsid w:val="009D176E"/>
    <w:rsid w:val="009D2E42"/>
    <w:rsid w:val="009D2F30"/>
    <w:rsid w:val="009D3A42"/>
    <w:rsid w:val="009D3A84"/>
    <w:rsid w:val="009D6B5B"/>
    <w:rsid w:val="009D6E2C"/>
    <w:rsid w:val="009D7CDB"/>
    <w:rsid w:val="009E0073"/>
    <w:rsid w:val="009E016F"/>
    <w:rsid w:val="009E023F"/>
    <w:rsid w:val="009E0AD0"/>
    <w:rsid w:val="009E0DC3"/>
    <w:rsid w:val="009E2054"/>
    <w:rsid w:val="009E3E1E"/>
    <w:rsid w:val="009E4DB9"/>
    <w:rsid w:val="009E5854"/>
    <w:rsid w:val="009E6FD0"/>
    <w:rsid w:val="009E7AD4"/>
    <w:rsid w:val="009F0032"/>
    <w:rsid w:val="009F2222"/>
    <w:rsid w:val="009F2A4E"/>
    <w:rsid w:val="009F36E8"/>
    <w:rsid w:val="009F4B8D"/>
    <w:rsid w:val="009F51B7"/>
    <w:rsid w:val="009F55A1"/>
    <w:rsid w:val="009F6F59"/>
    <w:rsid w:val="009F77EB"/>
    <w:rsid w:val="00A007DA"/>
    <w:rsid w:val="00A0102F"/>
    <w:rsid w:val="00A0144B"/>
    <w:rsid w:val="00A0184E"/>
    <w:rsid w:val="00A02DAB"/>
    <w:rsid w:val="00A03294"/>
    <w:rsid w:val="00A03FDA"/>
    <w:rsid w:val="00A04EC2"/>
    <w:rsid w:val="00A053A0"/>
    <w:rsid w:val="00A05541"/>
    <w:rsid w:val="00A05AAB"/>
    <w:rsid w:val="00A05E6D"/>
    <w:rsid w:val="00A068AD"/>
    <w:rsid w:val="00A077D1"/>
    <w:rsid w:val="00A10832"/>
    <w:rsid w:val="00A1128F"/>
    <w:rsid w:val="00A11BE6"/>
    <w:rsid w:val="00A121F1"/>
    <w:rsid w:val="00A126E8"/>
    <w:rsid w:val="00A13FE8"/>
    <w:rsid w:val="00A14108"/>
    <w:rsid w:val="00A14AB9"/>
    <w:rsid w:val="00A158AF"/>
    <w:rsid w:val="00A174FD"/>
    <w:rsid w:val="00A20075"/>
    <w:rsid w:val="00A21642"/>
    <w:rsid w:val="00A21C7B"/>
    <w:rsid w:val="00A2319B"/>
    <w:rsid w:val="00A23E26"/>
    <w:rsid w:val="00A24BDB"/>
    <w:rsid w:val="00A24D87"/>
    <w:rsid w:val="00A26B44"/>
    <w:rsid w:val="00A274D3"/>
    <w:rsid w:val="00A30F8B"/>
    <w:rsid w:val="00A31FD8"/>
    <w:rsid w:val="00A32232"/>
    <w:rsid w:val="00A3256D"/>
    <w:rsid w:val="00A32E30"/>
    <w:rsid w:val="00A33A7A"/>
    <w:rsid w:val="00A33D1F"/>
    <w:rsid w:val="00A34DCC"/>
    <w:rsid w:val="00A371F2"/>
    <w:rsid w:val="00A37238"/>
    <w:rsid w:val="00A37D48"/>
    <w:rsid w:val="00A40053"/>
    <w:rsid w:val="00A4120B"/>
    <w:rsid w:val="00A413D4"/>
    <w:rsid w:val="00A41611"/>
    <w:rsid w:val="00A41797"/>
    <w:rsid w:val="00A430FE"/>
    <w:rsid w:val="00A432A8"/>
    <w:rsid w:val="00A448B6"/>
    <w:rsid w:val="00A458C9"/>
    <w:rsid w:val="00A462A9"/>
    <w:rsid w:val="00A4757E"/>
    <w:rsid w:val="00A47CF4"/>
    <w:rsid w:val="00A50847"/>
    <w:rsid w:val="00A51A89"/>
    <w:rsid w:val="00A5302B"/>
    <w:rsid w:val="00A53392"/>
    <w:rsid w:val="00A5582F"/>
    <w:rsid w:val="00A563A2"/>
    <w:rsid w:val="00A56E2F"/>
    <w:rsid w:val="00A57079"/>
    <w:rsid w:val="00A57389"/>
    <w:rsid w:val="00A57479"/>
    <w:rsid w:val="00A604AA"/>
    <w:rsid w:val="00A60A36"/>
    <w:rsid w:val="00A61068"/>
    <w:rsid w:val="00A613DB"/>
    <w:rsid w:val="00A61419"/>
    <w:rsid w:val="00A6403E"/>
    <w:rsid w:val="00A64345"/>
    <w:rsid w:val="00A648FB"/>
    <w:rsid w:val="00A65165"/>
    <w:rsid w:val="00A6549C"/>
    <w:rsid w:val="00A6575C"/>
    <w:rsid w:val="00A65872"/>
    <w:rsid w:val="00A65A09"/>
    <w:rsid w:val="00A661DD"/>
    <w:rsid w:val="00A67B6E"/>
    <w:rsid w:val="00A703F3"/>
    <w:rsid w:val="00A70798"/>
    <w:rsid w:val="00A712C8"/>
    <w:rsid w:val="00A713FA"/>
    <w:rsid w:val="00A71B8E"/>
    <w:rsid w:val="00A72476"/>
    <w:rsid w:val="00A73E45"/>
    <w:rsid w:val="00A73EB3"/>
    <w:rsid w:val="00A741DF"/>
    <w:rsid w:val="00A7420B"/>
    <w:rsid w:val="00A759BE"/>
    <w:rsid w:val="00A761EE"/>
    <w:rsid w:val="00A769B5"/>
    <w:rsid w:val="00A80BF2"/>
    <w:rsid w:val="00A82FB8"/>
    <w:rsid w:val="00A84927"/>
    <w:rsid w:val="00A85832"/>
    <w:rsid w:val="00A85C7B"/>
    <w:rsid w:val="00A86763"/>
    <w:rsid w:val="00A87958"/>
    <w:rsid w:val="00A8797B"/>
    <w:rsid w:val="00A9060C"/>
    <w:rsid w:val="00A91778"/>
    <w:rsid w:val="00A921E7"/>
    <w:rsid w:val="00A927ED"/>
    <w:rsid w:val="00A9414F"/>
    <w:rsid w:val="00A9438A"/>
    <w:rsid w:val="00A95655"/>
    <w:rsid w:val="00A9658A"/>
    <w:rsid w:val="00A96FEC"/>
    <w:rsid w:val="00A97472"/>
    <w:rsid w:val="00A974F0"/>
    <w:rsid w:val="00AA08EB"/>
    <w:rsid w:val="00AA0B1E"/>
    <w:rsid w:val="00AA0F39"/>
    <w:rsid w:val="00AA1959"/>
    <w:rsid w:val="00AA2C08"/>
    <w:rsid w:val="00AA2D0C"/>
    <w:rsid w:val="00AA455D"/>
    <w:rsid w:val="00AA6309"/>
    <w:rsid w:val="00AA7CA2"/>
    <w:rsid w:val="00AB0936"/>
    <w:rsid w:val="00AB0B59"/>
    <w:rsid w:val="00AB0FFC"/>
    <w:rsid w:val="00AB1630"/>
    <w:rsid w:val="00AB17FF"/>
    <w:rsid w:val="00AB28D9"/>
    <w:rsid w:val="00AB2E43"/>
    <w:rsid w:val="00AB3EF0"/>
    <w:rsid w:val="00AB44F8"/>
    <w:rsid w:val="00AB5D79"/>
    <w:rsid w:val="00AB63A2"/>
    <w:rsid w:val="00AB6A15"/>
    <w:rsid w:val="00AB6F0E"/>
    <w:rsid w:val="00AB7173"/>
    <w:rsid w:val="00AB7B7A"/>
    <w:rsid w:val="00AC0CDA"/>
    <w:rsid w:val="00AC2D5C"/>
    <w:rsid w:val="00AC33B4"/>
    <w:rsid w:val="00AC38D6"/>
    <w:rsid w:val="00AC3C51"/>
    <w:rsid w:val="00AC4D09"/>
    <w:rsid w:val="00AC505A"/>
    <w:rsid w:val="00AC553F"/>
    <w:rsid w:val="00AC55B9"/>
    <w:rsid w:val="00AC7E49"/>
    <w:rsid w:val="00AD22C0"/>
    <w:rsid w:val="00AD22FC"/>
    <w:rsid w:val="00AD272F"/>
    <w:rsid w:val="00AD2956"/>
    <w:rsid w:val="00AD3892"/>
    <w:rsid w:val="00AD44A6"/>
    <w:rsid w:val="00AD68F4"/>
    <w:rsid w:val="00AD7D47"/>
    <w:rsid w:val="00AE0879"/>
    <w:rsid w:val="00AE147C"/>
    <w:rsid w:val="00AE220F"/>
    <w:rsid w:val="00AE34AE"/>
    <w:rsid w:val="00AE3FCA"/>
    <w:rsid w:val="00AE422C"/>
    <w:rsid w:val="00AE4E5E"/>
    <w:rsid w:val="00AE57A0"/>
    <w:rsid w:val="00AE748A"/>
    <w:rsid w:val="00AE79C7"/>
    <w:rsid w:val="00AF32D0"/>
    <w:rsid w:val="00AF3FFD"/>
    <w:rsid w:val="00AF5A53"/>
    <w:rsid w:val="00AF5D4F"/>
    <w:rsid w:val="00AF68A0"/>
    <w:rsid w:val="00AF71DF"/>
    <w:rsid w:val="00AF72E4"/>
    <w:rsid w:val="00AF7E3B"/>
    <w:rsid w:val="00B00336"/>
    <w:rsid w:val="00B01029"/>
    <w:rsid w:val="00B01564"/>
    <w:rsid w:val="00B05476"/>
    <w:rsid w:val="00B056EA"/>
    <w:rsid w:val="00B05DDB"/>
    <w:rsid w:val="00B07EA1"/>
    <w:rsid w:val="00B134E1"/>
    <w:rsid w:val="00B13A6C"/>
    <w:rsid w:val="00B1505B"/>
    <w:rsid w:val="00B1607F"/>
    <w:rsid w:val="00B16B6D"/>
    <w:rsid w:val="00B16DE4"/>
    <w:rsid w:val="00B17001"/>
    <w:rsid w:val="00B17BD0"/>
    <w:rsid w:val="00B23599"/>
    <w:rsid w:val="00B2439D"/>
    <w:rsid w:val="00B250E9"/>
    <w:rsid w:val="00B26097"/>
    <w:rsid w:val="00B26B63"/>
    <w:rsid w:val="00B26C0C"/>
    <w:rsid w:val="00B27F8B"/>
    <w:rsid w:val="00B31922"/>
    <w:rsid w:val="00B32226"/>
    <w:rsid w:val="00B32E21"/>
    <w:rsid w:val="00B3363A"/>
    <w:rsid w:val="00B3372B"/>
    <w:rsid w:val="00B33ED8"/>
    <w:rsid w:val="00B33FE6"/>
    <w:rsid w:val="00B34052"/>
    <w:rsid w:val="00B34225"/>
    <w:rsid w:val="00B34CA5"/>
    <w:rsid w:val="00B34CB3"/>
    <w:rsid w:val="00B356DD"/>
    <w:rsid w:val="00B36573"/>
    <w:rsid w:val="00B376DD"/>
    <w:rsid w:val="00B37C7E"/>
    <w:rsid w:val="00B4023D"/>
    <w:rsid w:val="00B40896"/>
    <w:rsid w:val="00B41B48"/>
    <w:rsid w:val="00B439F4"/>
    <w:rsid w:val="00B44039"/>
    <w:rsid w:val="00B443EF"/>
    <w:rsid w:val="00B45183"/>
    <w:rsid w:val="00B452A3"/>
    <w:rsid w:val="00B4760D"/>
    <w:rsid w:val="00B4789B"/>
    <w:rsid w:val="00B50DD1"/>
    <w:rsid w:val="00B51F54"/>
    <w:rsid w:val="00B522E2"/>
    <w:rsid w:val="00B52537"/>
    <w:rsid w:val="00B52690"/>
    <w:rsid w:val="00B52953"/>
    <w:rsid w:val="00B5765E"/>
    <w:rsid w:val="00B57A90"/>
    <w:rsid w:val="00B602CD"/>
    <w:rsid w:val="00B60599"/>
    <w:rsid w:val="00B612F0"/>
    <w:rsid w:val="00B61C00"/>
    <w:rsid w:val="00B62514"/>
    <w:rsid w:val="00B62C4B"/>
    <w:rsid w:val="00B62D3D"/>
    <w:rsid w:val="00B6426A"/>
    <w:rsid w:val="00B64BEA"/>
    <w:rsid w:val="00B64D40"/>
    <w:rsid w:val="00B65C9E"/>
    <w:rsid w:val="00B662C5"/>
    <w:rsid w:val="00B665A4"/>
    <w:rsid w:val="00B67344"/>
    <w:rsid w:val="00B67B2E"/>
    <w:rsid w:val="00B67EB2"/>
    <w:rsid w:val="00B7007A"/>
    <w:rsid w:val="00B70EA5"/>
    <w:rsid w:val="00B7300E"/>
    <w:rsid w:val="00B7558A"/>
    <w:rsid w:val="00B757E0"/>
    <w:rsid w:val="00B76D5C"/>
    <w:rsid w:val="00B778A5"/>
    <w:rsid w:val="00B77E36"/>
    <w:rsid w:val="00B80160"/>
    <w:rsid w:val="00B80D54"/>
    <w:rsid w:val="00B80ED0"/>
    <w:rsid w:val="00B8163A"/>
    <w:rsid w:val="00B82A34"/>
    <w:rsid w:val="00B836ED"/>
    <w:rsid w:val="00B83ACB"/>
    <w:rsid w:val="00B83B2A"/>
    <w:rsid w:val="00B840C7"/>
    <w:rsid w:val="00B84822"/>
    <w:rsid w:val="00B85651"/>
    <w:rsid w:val="00B85AB9"/>
    <w:rsid w:val="00B8665E"/>
    <w:rsid w:val="00B90598"/>
    <w:rsid w:val="00B9101D"/>
    <w:rsid w:val="00B92AD7"/>
    <w:rsid w:val="00B92B38"/>
    <w:rsid w:val="00B9543D"/>
    <w:rsid w:val="00B959E0"/>
    <w:rsid w:val="00B961D3"/>
    <w:rsid w:val="00B9703A"/>
    <w:rsid w:val="00BA11D8"/>
    <w:rsid w:val="00BA16D8"/>
    <w:rsid w:val="00BA3F0F"/>
    <w:rsid w:val="00BA4BB4"/>
    <w:rsid w:val="00BA5C76"/>
    <w:rsid w:val="00BA6C4A"/>
    <w:rsid w:val="00BA763C"/>
    <w:rsid w:val="00BA775C"/>
    <w:rsid w:val="00BB06A8"/>
    <w:rsid w:val="00BB0F82"/>
    <w:rsid w:val="00BB3191"/>
    <w:rsid w:val="00BB35D9"/>
    <w:rsid w:val="00BB5383"/>
    <w:rsid w:val="00BB599A"/>
    <w:rsid w:val="00BB5D6A"/>
    <w:rsid w:val="00BB65E6"/>
    <w:rsid w:val="00BB7122"/>
    <w:rsid w:val="00BC163D"/>
    <w:rsid w:val="00BC226F"/>
    <w:rsid w:val="00BC2ACE"/>
    <w:rsid w:val="00BC35EE"/>
    <w:rsid w:val="00BC3FAA"/>
    <w:rsid w:val="00BC4696"/>
    <w:rsid w:val="00BC47F3"/>
    <w:rsid w:val="00BC5D5A"/>
    <w:rsid w:val="00BC72C5"/>
    <w:rsid w:val="00BC75F3"/>
    <w:rsid w:val="00BC79B8"/>
    <w:rsid w:val="00BD0407"/>
    <w:rsid w:val="00BD119A"/>
    <w:rsid w:val="00BD2987"/>
    <w:rsid w:val="00BD2C7B"/>
    <w:rsid w:val="00BD50AA"/>
    <w:rsid w:val="00BD5B82"/>
    <w:rsid w:val="00BD6528"/>
    <w:rsid w:val="00BD68E4"/>
    <w:rsid w:val="00BD73C2"/>
    <w:rsid w:val="00BE28B8"/>
    <w:rsid w:val="00BE3EA0"/>
    <w:rsid w:val="00BE4275"/>
    <w:rsid w:val="00BE5FAC"/>
    <w:rsid w:val="00BE73A3"/>
    <w:rsid w:val="00BE7CF1"/>
    <w:rsid w:val="00BF0BEA"/>
    <w:rsid w:val="00BF1249"/>
    <w:rsid w:val="00BF2472"/>
    <w:rsid w:val="00BF2C26"/>
    <w:rsid w:val="00BF4123"/>
    <w:rsid w:val="00BF44F5"/>
    <w:rsid w:val="00BF5527"/>
    <w:rsid w:val="00BF56A4"/>
    <w:rsid w:val="00BF5B32"/>
    <w:rsid w:val="00BF6E0F"/>
    <w:rsid w:val="00BF706B"/>
    <w:rsid w:val="00BF7E21"/>
    <w:rsid w:val="00C00D6C"/>
    <w:rsid w:val="00C011A8"/>
    <w:rsid w:val="00C03277"/>
    <w:rsid w:val="00C0333A"/>
    <w:rsid w:val="00C04757"/>
    <w:rsid w:val="00C049AA"/>
    <w:rsid w:val="00C05DB3"/>
    <w:rsid w:val="00C07894"/>
    <w:rsid w:val="00C07F5C"/>
    <w:rsid w:val="00C1012D"/>
    <w:rsid w:val="00C10563"/>
    <w:rsid w:val="00C111B8"/>
    <w:rsid w:val="00C11FFA"/>
    <w:rsid w:val="00C1253D"/>
    <w:rsid w:val="00C12728"/>
    <w:rsid w:val="00C13B0C"/>
    <w:rsid w:val="00C146F5"/>
    <w:rsid w:val="00C15A1A"/>
    <w:rsid w:val="00C17305"/>
    <w:rsid w:val="00C2211D"/>
    <w:rsid w:val="00C23412"/>
    <w:rsid w:val="00C23738"/>
    <w:rsid w:val="00C24483"/>
    <w:rsid w:val="00C24FB0"/>
    <w:rsid w:val="00C2732E"/>
    <w:rsid w:val="00C273EF"/>
    <w:rsid w:val="00C32616"/>
    <w:rsid w:val="00C337AA"/>
    <w:rsid w:val="00C33B73"/>
    <w:rsid w:val="00C34684"/>
    <w:rsid w:val="00C34E33"/>
    <w:rsid w:val="00C35310"/>
    <w:rsid w:val="00C35509"/>
    <w:rsid w:val="00C355F0"/>
    <w:rsid w:val="00C37A5C"/>
    <w:rsid w:val="00C37F8C"/>
    <w:rsid w:val="00C42E1D"/>
    <w:rsid w:val="00C449A2"/>
    <w:rsid w:val="00C469EC"/>
    <w:rsid w:val="00C504F2"/>
    <w:rsid w:val="00C5278D"/>
    <w:rsid w:val="00C52E1C"/>
    <w:rsid w:val="00C53BEE"/>
    <w:rsid w:val="00C53E07"/>
    <w:rsid w:val="00C54542"/>
    <w:rsid w:val="00C5500B"/>
    <w:rsid w:val="00C550BF"/>
    <w:rsid w:val="00C55381"/>
    <w:rsid w:val="00C55BF9"/>
    <w:rsid w:val="00C564BC"/>
    <w:rsid w:val="00C6078E"/>
    <w:rsid w:val="00C60EE3"/>
    <w:rsid w:val="00C61D67"/>
    <w:rsid w:val="00C61E41"/>
    <w:rsid w:val="00C632B3"/>
    <w:rsid w:val="00C64AC2"/>
    <w:rsid w:val="00C653D9"/>
    <w:rsid w:val="00C662AC"/>
    <w:rsid w:val="00C66452"/>
    <w:rsid w:val="00C66939"/>
    <w:rsid w:val="00C66B53"/>
    <w:rsid w:val="00C67B3A"/>
    <w:rsid w:val="00C7206F"/>
    <w:rsid w:val="00C75339"/>
    <w:rsid w:val="00C7605C"/>
    <w:rsid w:val="00C777A9"/>
    <w:rsid w:val="00C8076B"/>
    <w:rsid w:val="00C81088"/>
    <w:rsid w:val="00C81881"/>
    <w:rsid w:val="00C81DA8"/>
    <w:rsid w:val="00C82387"/>
    <w:rsid w:val="00C82F0B"/>
    <w:rsid w:val="00C838A3"/>
    <w:rsid w:val="00C85A50"/>
    <w:rsid w:val="00C866FD"/>
    <w:rsid w:val="00C8683D"/>
    <w:rsid w:val="00C90794"/>
    <w:rsid w:val="00C90CEF"/>
    <w:rsid w:val="00C90F14"/>
    <w:rsid w:val="00C9156C"/>
    <w:rsid w:val="00C92869"/>
    <w:rsid w:val="00C92D71"/>
    <w:rsid w:val="00C93F7E"/>
    <w:rsid w:val="00C97051"/>
    <w:rsid w:val="00C976F5"/>
    <w:rsid w:val="00C97722"/>
    <w:rsid w:val="00C9786D"/>
    <w:rsid w:val="00C97E2D"/>
    <w:rsid w:val="00CA035C"/>
    <w:rsid w:val="00CA0AD8"/>
    <w:rsid w:val="00CA0BF8"/>
    <w:rsid w:val="00CA0D2B"/>
    <w:rsid w:val="00CA1C5D"/>
    <w:rsid w:val="00CA1D56"/>
    <w:rsid w:val="00CA2912"/>
    <w:rsid w:val="00CA3FDD"/>
    <w:rsid w:val="00CA4609"/>
    <w:rsid w:val="00CA4A67"/>
    <w:rsid w:val="00CA6DD2"/>
    <w:rsid w:val="00CA7D80"/>
    <w:rsid w:val="00CB0E84"/>
    <w:rsid w:val="00CB246B"/>
    <w:rsid w:val="00CB3950"/>
    <w:rsid w:val="00CB3CA5"/>
    <w:rsid w:val="00CB6E87"/>
    <w:rsid w:val="00CB7767"/>
    <w:rsid w:val="00CC21F9"/>
    <w:rsid w:val="00CC2916"/>
    <w:rsid w:val="00CC2973"/>
    <w:rsid w:val="00CC3019"/>
    <w:rsid w:val="00CC3190"/>
    <w:rsid w:val="00CC560D"/>
    <w:rsid w:val="00CC5699"/>
    <w:rsid w:val="00CC60F2"/>
    <w:rsid w:val="00CC61ED"/>
    <w:rsid w:val="00CC6A2D"/>
    <w:rsid w:val="00CC6A2F"/>
    <w:rsid w:val="00CC6FEF"/>
    <w:rsid w:val="00CC7234"/>
    <w:rsid w:val="00CC73A3"/>
    <w:rsid w:val="00CD22B6"/>
    <w:rsid w:val="00CD2450"/>
    <w:rsid w:val="00CD4C3D"/>
    <w:rsid w:val="00CD4C7C"/>
    <w:rsid w:val="00CD603B"/>
    <w:rsid w:val="00CE0852"/>
    <w:rsid w:val="00CE1ED0"/>
    <w:rsid w:val="00CE32D4"/>
    <w:rsid w:val="00CE33F7"/>
    <w:rsid w:val="00CE47B6"/>
    <w:rsid w:val="00CE51AF"/>
    <w:rsid w:val="00CE51B3"/>
    <w:rsid w:val="00CE5F5E"/>
    <w:rsid w:val="00CF0681"/>
    <w:rsid w:val="00CF1CB1"/>
    <w:rsid w:val="00CF3648"/>
    <w:rsid w:val="00CF3922"/>
    <w:rsid w:val="00CF39D8"/>
    <w:rsid w:val="00CF4B8B"/>
    <w:rsid w:val="00CF4CE5"/>
    <w:rsid w:val="00CF6206"/>
    <w:rsid w:val="00CF654B"/>
    <w:rsid w:val="00D037F9"/>
    <w:rsid w:val="00D0403F"/>
    <w:rsid w:val="00D042EE"/>
    <w:rsid w:val="00D048A1"/>
    <w:rsid w:val="00D04FE1"/>
    <w:rsid w:val="00D05BB5"/>
    <w:rsid w:val="00D06D62"/>
    <w:rsid w:val="00D07313"/>
    <w:rsid w:val="00D074E6"/>
    <w:rsid w:val="00D10D73"/>
    <w:rsid w:val="00D11335"/>
    <w:rsid w:val="00D12626"/>
    <w:rsid w:val="00D12B45"/>
    <w:rsid w:val="00D133C6"/>
    <w:rsid w:val="00D13C90"/>
    <w:rsid w:val="00D14296"/>
    <w:rsid w:val="00D1600F"/>
    <w:rsid w:val="00D165E6"/>
    <w:rsid w:val="00D16608"/>
    <w:rsid w:val="00D16847"/>
    <w:rsid w:val="00D16CAC"/>
    <w:rsid w:val="00D17088"/>
    <w:rsid w:val="00D20864"/>
    <w:rsid w:val="00D21EAA"/>
    <w:rsid w:val="00D229F3"/>
    <w:rsid w:val="00D2363F"/>
    <w:rsid w:val="00D2418F"/>
    <w:rsid w:val="00D24C67"/>
    <w:rsid w:val="00D25185"/>
    <w:rsid w:val="00D274C9"/>
    <w:rsid w:val="00D2789F"/>
    <w:rsid w:val="00D27A46"/>
    <w:rsid w:val="00D27E34"/>
    <w:rsid w:val="00D27EB6"/>
    <w:rsid w:val="00D31B95"/>
    <w:rsid w:val="00D324E6"/>
    <w:rsid w:val="00D32836"/>
    <w:rsid w:val="00D32B10"/>
    <w:rsid w:val="00D33ABF"/>
    <w:rsid w:val="00D33F02"/>
    <w:rsid w:val="00D353EE"/>
    <w:rsid w:val="00D355BE"/>
    <w:rsid w:val="00D360C9"/>
    <w:rsid w:val="00D42713"/>
    <w:rsid w:val="00D42A72"/>
    <w:rsid w:val="00D42C93"/>
    <w:rsid w:val="00D42F05"/>
    <w:rsid w:val="00D436AC"/>
    <w:rsid w:val="00D437CE"/>
    <w:rsid w:val="00D43F59"/>
    <w:rsid w:val="00D442E2"/>
    <w:rsid w:val="00D44719"/>
    <w:rsid w:val="00D4641E"/>
    <w:rsid w:val="00D46497"/>
    <w:rsid w:val="00D46A05"/>
    <w:rsid w:val="00D46A4C"/>
    <w:rsid w:val="00D471CC"/>
    <w:rsid w:val="00D475F7"/>
    <w:rsid w:val="00D477E7"/>
    <w:rsid w:val="00D510F6"/>
    <w:rsid w:val="00D54788"/>
    <w:rsid w:val="00D5698D"/>
    <w:rsid w:val="00D56BFD"/>
    <w:rsid w:val="00D6014E"/>
    <w:rsid w:val="00D60638"/>
    <w:rsid w:val="00D61E04"/>
    <w:rsid w:val="00D61FE9"/>
    <w:rsid w:val="00D63EA1"/>
    <w:rsid w:val="00D64EA4"/>
    <w:rsid w:val="00D664EA"/>
    <w:rsid w:val="00D6669C"/>
    <w:rsid w:val="00D66FDF"/>
    <w:rsid w:val="00D673C2"/>
    <w:rsid w:val="00D71DC4"/>
    <w:rsid w:val="00D73661"/>
    <w:rsid w:val="00D738E7"/>
    <w:rsid w:val="00D73987"/>
    <w:rsid w:val="00D74815"/>
    <w:rsid w:val="00D7708A"/>
    <w:rsid w:val="00D77C27"/>
    <w:rsid w:val="00D77D13"/>
    <w:rsid w:val="00D82969"/>
    <w:rsid w:val="00D82A20"/>
    <w:rsid w:val="00D82B11"/>
    <w:rsid w:val="00D83DAD"/>
    <w:rsid w:val="00D841DA"/>
    <w:rsid w:val="00D850A1"/>
    <w:rsid w:val="00D85BD9"/>
    <w:rsid w:val="00D85E35"/>
    <w:rsid w:val="00D86403"/>
    <w:rsid w:val="00D87CEE"/>
    <w:rsid w:val="00D90654"/>
    <w:rsid w:val="00D90D7B"/>
    <w:rsid w:val="00D914E0"/>
    <w:rsid w:val="00D916C4"/>
    <w:rsid w:val="00D9180F"/>
    <w:rsid w:val="00D93731"/>
    <w:rsid w:val="00D94F0C"/>
    <w:rsid w:val="00D951AF"/>
    <w:rsid w:val="00D96CD4"/>
    <w:rsid w:val="00D97B9A"/>
    <w:rsid w:val="00DA05B0"/>
    <w:rsid w:val="00DA0854"/>
    <w:rsid w:val="00DA13FD"/>
    <w:rsid w:val="00DA14D0"/>
    <w:rsid w:val="00DA2386"/>
    <w:rsid w:val="00DA3880"/>
    <w:rsid w:val="00DA464C"/>
    <w:rsid w:val="00DA4E8A"/>
    <w:rsid w:val="00DA5D93"/>
    <w:rsid w:val="00DA70AF"/>
    <w:rsid w:val="00DA7E81"/>
    <w:rsid w:val="00DB0A4F"/>
    <w:rsid w:val="00DB0AAE"/>
    <w:rsid w:val="00DB19FB"/>
    <w:rsid w:val="00DB22B8"/>
    <w:rsid w:val="00DB2C52"/>
    <w:rsid w:val="00DB2DE0"/>
    <w:rsid w:val="00DB3D7F"/>
    <w:rsid w:val="00DB47DB"/>
    <w:rsid w:val="00DB4EA5"/>
    <w:rsid w:val="00DB4F9B"/>
    <w:rsid w:val="00DB5C00"/>
    <w:rsid w:val="00DB6533"/>
    <w:rsid w:val="00DB698C"/>
    <w:rsid w:val="00DB6A3F"/>
    <w:rsid w:val="00DB7D44"/>
    <w:rsid w:val="00DC02E7"/>
    <w:rsid w:val="00DC52B2"/>
    <w:rsid w:val="00DC572A"/>
    <w:rsid w:val="00DC5B8E"/>
    <w:rsid w:val="00DC6759"/>
    <w:rsid w:val="00DC7538"/>
    <w:rsid w:val="00DD02E4"/>
    <w:rsid w:val="00DD0CD5"/>
    <w:rsid w:val="00DD202D"/>
    <w:rsid w:val="00DD21B4"/>
    <w:rsid w:val="00DD23B7"/>
    <w:rsid w:val="00DD2668"/>
    <w:rsid w:val="00DD4182"/>
    <w:rsid w:val="00DD45B2"/>
    <w:rsid w:val="00DD50D7"/>
    <w:rsid w:val="00DD54D1"/>
    <w:rsid w:val="00DD55A4"/>
    <w:rsid w:val="00DD5C0F"/>
    <w:rsid w:val="00DD65D6"/>
    <w:rsid w:val="00DD6C55"/>
    <w:rsid w:val="00DD74A2"/>
    <w:rsid w:val="00DD75D2"/>
    <w:rsid w:val="00DE07ED"/>
    <w:rsid w:val="00DE3489"/>
    <w:rsid w:val="00DE3A4F"/>
    <w:rsid w:val="00DE453A"/>
    <w:rsid w:val="00DE64A2"/>
    <w:rsid w:val="00DE6DE4"/>
    <w:rsid w:val="00DF02C2"/>
    <w:rsid w:val="00DF0443"/>
    <w:rsid w:val="00DF0CE4"/>
    <w:rsid w:val="00DF107C"/>
    <w:rsid w:val="00DF1093"/>
    <w:rsid w:val="00DF167E"/>
    <w:rsid w:val="00DF2C43"/>
    <w:rsid w:val="00DF2ED5"/>
    <w:rsid w:val="00DF37D0"/>
    <w:rsid w:val="00DF4978"/>
    <w:rsid w:val="00DF5852"/>
    <w:rsid w:val="00DF58FE"/>
    <w:rsid w:val="00DF5949"/>
    <w:rsid w:val="00DF6708"/>
    <w:rsid w:val="00DF6C80"/>
    <w:rsid w:val="00E006BF"/>
    <w:rsid w:val="00E00771"/>
    <w:rsid w:val="00E011D9"/>
    <w:rsid w:val="00E01612"/>
    <w:rsid w:val="00E02204"/>
    <w:rsid w:val="00E0247C"/>
    <w:rsid w:val="00E026D3"/>
    <w:rsid w:val="00E028FD"/>
    <w:rsid w:val="00E0490B"/>
    <w:rsid w:val="00E050E3"/>
    <w:rsid w:val="00E0770D"/>
    <w:rsid w:val="00E1278A"/>
    <w:rsid w:val="00E12CE6"/>
    <w:rsid w:val="00E12E9B"/>
    <w:rsid w:val="00E13312"/>
    <w:rsid w:val="00E13315"/>
    <w:rsid w:val="00E13947"/>
    <w:rsid w:val="00E13D76"/>
    <w:rsid w:val="00E143E7"/>
    <w:rsid w:val="00E14492"/>
    <w:rsid w:val="00E16A73"/>
    <w:rsid w:val="00E17A5A"/>
    <w:rsid w:val="00E2048E"/>
    <w:rsid w:val="00E20F29"/>
    <w:rsid w:val="00E2180F"/>
    <w:rsid w:val="00E21819"/>
    <w:rsid w:val="00E21A49"/>
    <w:rsid w:val="00E220D5"/>
    <w:rsid w:val="00E22309"/>
    <w:rsid w:val="00E225E3"/>
    <w:rsid w:val="00E22697"/>
    <w:rsid w:val="00E23AF2"/>
    <w:rsid w:val="00E23B19"/>
    <w:rsid w:val="00E23DBC"/>
    <w:rsid w:val="00E25F91"/>
    <w:rsid w:val="00E26433"/>
    <w:rsid w:val="00E26736"/>
    <w:rsid w:val="00E26816"/>
    <w:rsid w:val="00E27273"/>
    <w:rsid w:val="00E30CD1"/>
    <w:rsid w:val="00E30E4F"/>
    <w:rsid w:val="00E3112B"/>
    <w:rsid w:val="00E31C4C"/>
    <w:rsid w:val="00E31C9B"/>
    <w:rsid w:val="00E33BE6"/>
    <w:rsid w:val="00E33D20"/>
    <w:rsid w:val="00E34112"/>
    <w:rsid w:val="00E34F39"/>
    <w:rsid w:val="00E352B2"/>
    <w:rsid w:val="00E3543C"/>
    <w:rsid w:val="00E403D4"/>
    <w:rsid w:val="00E406BE"/>
    <w:rsid w:val="00E412EA"/>
    <w:rsid w:val="00E416AE"/>
    <w:rsid w:val="00E41C23"/>
    <w:rsid w:val="00E421F1"/>
    <w:rsid w:val="00E4228F"/>
    <w:rsid w:val="00E4232A"/>
    <w:rsid w:val="00E44F52"/>
    <w:rsid w:val="00E4728A"/>
    <w:rsid w:val="00E4731F"/>
    <w:rsid w:val="00E47892"/>
    <w:rsid w:val="00E47EA7"/>
    <w:rsid w:val="00E5018A"/>
    <w:rsid w:val="00E50B59"/>
    <w:rsid w:val="00E50B81"/>
    <w:rsid w:val="00E513C6"/>
    <w:rsid w:val="00E53A88"/>
    <w:rsid w:val="00E53EC1"/>
    <w:rsid w:val="00E53FBF"/>
    <w:rsid w:val="00E55349"/>
    <w:rsid w:val="00E55A21"/>
    <w:rsid w:val="00E55F40"/>
    <w:rsid w:val="00E56166"/>
    <w:rsid w:val="00E5741B"/>
    <w:rsid w:val="00E6076E"/>
    <w:rsid w:val="00E6206A"/>
    <w:rsid w:val="00E6278B"/>
    <w:rsid w:val="00E62FE9"/>
    <w:rsid w:val="00E63301"/>
    <w:rsid w:val="00E63C06"/>
    <w:rsid w:val="00E64AE0"/>
    <w:rsid w:val="00E667E0"/>
    <w:rsid w:val="00E70932"/>
    <w:rsid w:val="00E72762"/>
    <w:rsid w:val="00E73203"/>
    <w:rsid w:val="00E7395C"/>
    <w:rsid w:val="00E74725"/>
    <w:rsid w:val="00E74ACF"/>
    <w:rsid w:val="00E74AFE"/>
    <w:rsid w:val="00E757D7"/>
    <w:rsid w:val="00E75B92"/>
    <w:rsid w:val="00E7642D"/>
    <w:rsid w:val="00E76D65"/>
    <w:rsid w:val="00E801B5"/>
    <w:rsid w:val="00E803F8"/>
    <w:rsid w:val="00E80707"/>
    <w:rsid w:val="00E82012"/>
    <w:rsid w:val="00E82392"/>
    <w:rsid w:val="00E8255F"/>
    <w:rsid w:val="00E83C4D"/>
    <w:rsid w:val="00E83F2A"/>
    <w:rsid w:val="00E84A2D"/>
    <w:rsid w:val="00E84D66"/>
    <w:rsid w:val="00E85E7F"/>
    <w:rsid w:val="00E86E8E"/>
    <w:rsid w:val="00E86F77"/>
    <w:rsid w:val="00E87B98"/>
    <w:rsid w:val="00E908A1"/>
    <w:rsid w:val="00E90C77"/>
    <w:rsid w:val="00E91A28"/>
    <w:rsid w:val="00E91AAA"/>
    <w:rsid w:val="00E92FD9"/>
    <w:rsid w:val="00E94B19"/>
    <w:rsid w:val="00E94BF8"/>
    <w:rsid w:val="00E9579F"/>
    <w:rsid w:val="00E95AD3"/>
    <w:rsid w:val="00E97575"/>
    <w:rsid w:val="00EA0C61"/>
    <w:rsid w:val="00EA1C8C"/>
    <w:rsid w:val="00EA20C3"/>
    <w:rsid w:val="00EA358D"/>
    <w:rsid w:val="00EA3D94"/>
    <w:rsid w:val="00EA4CCA"/>
    <w:rsid w:val="00EA5C1C"/>
    <w:rsid w:val="00EA6C75"/>
    <w:rsid w:val="00EA729C"/>
    <w:rsid w:val="00EA77CD"/>
    <w:rsid w:val="00EA7FDC"/>
    <w:rsid w:val="00EB1701"/>
    <w:rsid w:val="00EB1FAD"/>
    <w:rsid w:val="00EB265B"/>
    <w:rsid w:val="00EB278F"/>
    <w:rsid w:val="00EB61FA"/>
    <w:rsid w:val="00EC03B1"/>
    <w:rsid w:val="00EC0FF8"/>
    <w:rsid w:val="00EC14C4"/>
    <w:rsid w:val="00EC1560"/>
    <w:rsid w:val="00EC26C0"/>
    <w:rsid w:val="00EC2DDD"/>
    <w:rsid w:val="00EC336A"/>
    <w:rsid w:val="00EC4AAC"/>
    <w:rsid w:val="00EC5E9F"/>
    <w:rsid w:val="00EC5F92"/>
    <w:rsid w:val="00EC663F"/>
    <w:rsid w:val="00EC7AA3"/>
    <w:rsid w:val="00EC7CE2"/>
    <w:rsid w:val="00EC7E83"/>
    <w:rsid w:val="00ED0BE9"/>
    <w:rsid w:val="00ED0F05"/>
    <w:rsid w:val="00ED0FF9"/>
    <w:rsid w:val="00ED160D"/>
    <w:rsid w:val="00ED1D19"/>
    <w:rsid w:val="00ED1FC2"/>
    <w:rsid w:val="00ED28D6"/>
    <w:rsid w:val="00ED3568"/>
    <w:rsid w:val="00ED417C"/>
    <w:rsid w:val="00ED42DF"/>
    <w:rsid w:val="00ED4A23"/>
    <w:rsid w:val="00ED4D62"/>
    <w:rsid w:val="00ED5352"/>
    <w:rsid w:val="00ED53A2"/>
    <w:rsid w:val="00ED5586"/>
    <w:rsid w:val="00ED788E"/>
    <w:rsid w:val="00EE3B61"/>
    <w:rsid w:val="00EE45BF"/>
    <w:rsid w:val="00EE4E71"/>
    <w:rsid w:val="00EE6B65"/>
    <w:rsid w:val="00EE6BF1"/>
    <w:rsid w:val="00EE6FE7"/>
    <w:rsid w:val="00EE73D1"/>
    <w:rsid w:val="00EE76F5"/>
    <w:rsid w:val="00EE78FD"/>
    <w:rsid w:val="00EE7ECB"/>
    <w:rsid w:val="00EF1160"/>
    <w:rsid w:val="00EF1938"/>
    <w:rsid w:val="00EF20F9"/>
    <w:rsid w:val="00EF4D62"/>
    <w:rsid w:val="00EF52E4"/>
    <w:rsid w:val="00EF667B"/>
    <w:rsid w:val="00F004D4"/>
    <w:rsid w:val="00F008C7"/>
    <w:rsid w:val="00F00D96"/>
    <w:rsid w:val="00F01D2E"/>
    <w:rsid w:val="00F032E0"/>
    <w:rsid w:val="00F0344F"/>
    <w:rsid w:val="00F04548"/>
    <w:rsid w:val="00F10281"/>
    <w:rsid w:val="00F10C4C"/>
    <w:rsid w:val="00F11C02"/>
    <w:rsid w:val="00F121FF"/>
    <w:rsid w:val="00F12229"/>
    <w:rsid w:val="00F14A0A"/>
    <w:rsid w:val="00F15156"/>
    <w:rsid w:val="00F16111"/>
    <w:rsid w:val="00F16401"/>
    <w:rsid w:val="00F169F2"/>
    <w:rsid w:val="00F17304"/>
    <w:rsid w:val="00F203D1"/>
    <w:rsid w:val="00F206A7"/>
    <w:rsid w:val="00F21211"/>
    <w:rsid w:val="00F218E6"/>
    <w:rsid w:val="00F233F8"/>
    <w:rsid w:val="00F2371B"/>
    <w:rsid w:val="00F23FA4"/>
    <w:rsid w:val="00F23FBC"/>
    <w:rsid w:val="00F24376"/>
    <w:rsid w:val="00F266FB"/>
    <w:rsid w:val="00F277D0"/>
    <w:rsid w:val="00F30634"/>
    <w:rsid w:val="00F32700"/>
    <w:rsid w:val="00F3487C"/>
    <w:rsid w:val="00F34995"/>
    <w:rsid w:val="00F34F66"/>
    <w:rsid w:val="00F36203"/>
    <w:rsid w:val="00F36793"/>
    <w:rsid w:val="00F36DDF"/>
    <w:rsid w:val="00F37F6B"/>
    <w:rsid w:val="00F403AC"/>
    <w:rsid w:val="00F405FB"/>
    <w:rsid w:val="00F45237"/>
    <w:rsid w:val="00F454C5"/>
    <w:rsid w:val="00F45E2D"/>
    <w:rsid w:val="00F46AAD"/>
    <w:rsid w:val="00F46E92"/>
    <w:rsid w:val="00F47109"/>
    <w:rsid w:val="00F47F1B"/>
    <w:rsid w:val="00F50DF6"/>
    <w:rsid w:val="00F535AD"/>
    <w:rsid w:val="00F54A58"/>
    <w:rsid w:val="00F56206"/>
    <w:rsid w:val="00F56BCA"/>
    <w:rsid w:val="00F57359"/>
    <w:rsid w:val="00F57FD9"/>
    <w:rsid w:val="00F60216"/>
    <w:rsid w:val="00F60471"/>
    <w:rsid w:val="00F60AF8"/>
    <w:rsid w:val="00F60C8D"/>
    <w:rsid w:val="00F61182"/>
    <w:rsid w:val="00F61487"/>
    <w:rsid w:val="00F61BFC"/>
    <w:rsid w:val="00F61C53"/>
    <w:rsid w:val="00F62287"/>
    <w:rsid w:val="00F63262"/>
    <w:rsid w:val="00F64218"/>
    <w:rsid w:val="00F647CB"/>
    <w:rsid w:val="00F65434"/>
    <w:rsid w:val="00F656D9"/>
    <w:rsid w:val="00F664E0"/>
    <w:rsid w:val="00F66E35"/>
    <w:rsid w:val="00F673AC"/>
    <w:rsid w:val="00F67A4C"/>
    <w:rsid w:val="00F714B4"/>
    <w:rsid w:val="00F716F3"/>
    <w:rsid w:val="00F72151"/>
    <w:rsid w:val="00F72E84"/>
    <w:rsid w:val="00F7300E"/>
    <w:rsid w:val="00F735E6"/>
    <w:rsid w:val="00F73CC9"/>
    <w:rsid w:val="00F73DDE"/>
    <w:rsid w:val="00F73FA4"/>
    <w:rsid w:val="00F746A8"/>
    <w:rsid w:val="00F7494C"/>
    <w:rsid w:val="00F759DE"/>
    <w:rsid w:val="00F7617C"/>
    <w:rsid w:val="00F768BA"/>
    <w:rsid w:val="00F7759F"/>
    <w:rsid w:val="00F81246"/>
    <w:rsid w:val="00F81619"/>
    <w:rsid w:val="00F81AEF"/>
    <w:rsid w:val="00F83868"/>
    <w:rsid w:val="00F83B12"/>
    <w:rsid w:val="00F83E76"/>
    <w:rsid w:val="00F841AA"/>
    <w:rsid w:val="00F867E0"/>
    <w:rsid w:val="00F870CC"/>
    <w:rsid w:val="00F87753"/>
    <w:rsid w:val="00F87885"/>
    <w:rsid w:val="00F90320"/>
    <w:rsid w:val="00F9089B"/>
    <w:rsid w:val="00F91099"/>
    <w:rsid w:val="00F91441"/>
    <w:rsid w:val="00F91963"/>
    <w:rsid w:val="00F91F55"/>
    <w:rsid w:val="00F92487"/>
    <w:rsid w:val="00F92A2C"/>
    <w:rsid w:val="00F93A86"/>
    <w:rsid w:val="00F940CD"/>
    <w:rsid w:val="00F94939"/>
    <w:rsid w:val="00F95955"/>
    <w:rsid w:val="00F9651A"/>
    <w:rsid w:val="00F96BE7"/>
    <w:rsid w:val="00F97271"/>
    <w:rsid w:val="00F97A79"/>
    <w:rsid w:val="00FA01B2"/>
    <w:rsid w:val="00FA0650"/>
    <w:rsid w:val="00FA0E1D"/>
    <w:rsid w:val="00FA48EF"/>
    <w:rsid w:val="00FA5532"/>
    <w:rsid w:val="00FA5A35"/>
    <w:rsid w:val="00FA6AE1"/>
    <w:rsid w:val="00FA76B3"/>
    <w:rsid w:val="00FB06DD"/>
    <w:rsid w:val="00FB0E1F"/>
    <w:rsid w:val="00FB1325"/>
    <w:rsid w:val="00FB14CC"/>
    <w:rsid w:val="00FB1D1E"/>
    <w:rsid w:val="00FB31EE"/>
    <w:rsid w:val="00FB48BF"/>
    <w:rsid w:val="00FB4A44"/>
    <w:rsid w:val="00FB5CA7"/>
    <w:rsid w:val="00FB5FA5"/>
    <w:rsid w:val="00FC0BB5"/>
    <w:rsid w:val="00FC206D"/>
    <w:rsid w:val="00FC39C7"/>
    <w:rsid w:val="00FC43AE"/>
    <w:rsid w:val="00FC51CF"/>
    <w:rsid w:val="00FC5EA8"/>
    <w:rsid w:val="00FD1751"/>
    <w:rsid w:val="00FD183E"/>
    <w:rsid w:val="00FD1DAA"/>
    <w:rsid w:val="00FD4626"/>
    <w:rsid w:val="00FD4CA4"/>
    <w:rsid w:val="00FD54C9"/>
    <w:rsid w:val="00FD5715"/>
    <w:rsid w:val="00FD5747"/>
    <w:rsid w:val="00FD5E91"/>
    <w:rsid w:val="00FD5FCA"/>
    <w:rsid w:val="00FD63E2"/>
    <w:rsid w:val="00FD652D"/>
    <w:rsid w:val="00FD7027"/>
    <w:rsid w:val="00FD781E"/>
    <w:rsid w:val="00FD79C8"/>
    <w:rsid w:val="00FD7A02"/>
    <w:rsid w:val="00FE01A7"/>
    <w:rsid w:val="00FE0469"/>
    <w:rsid w:val="00FE0B51"/>
    <w:rsid w:val="00FE1780"/>
    <w:rsid w:val="00FE24A5"/>
    <w:rsid w:val="00FE2CEF"/>
    <w:rsid w:val="00FE51C0"/>
    <w:rsid w:val="00FE5AB1"/>
    <w:rsid w:val="00FE7769"/>
    <w:rsid w:val="00FE7B64"/>
    <w:rsid w:val="00FE7BD2"/>
    <w:rsid w:val="00FE7D90"/>
    <w:rsid w:val="00FF1EC6"/>
    <w:rsid w:val="00FF2C8D"/>
    <w:rsid w:val="00FF32A9"/>
    <w:rsid w:val="00FF43C6"/>
    <w:rsid w:val="00FF49F0"/>
    <w:rsid w:val="00FF56BA"/>
    <w:rsid w:val="00FF7774"/>
    <w:rsid w:val="00FF7A7E"/>
    <w:rsid w:val="01282E62"/>
    <w:rsid w:val="012D7D10"/>
    <w:rsid w:val="012F7F36"/>
    <w:rsid w:val="013B2B96"/>
    <w:rsid w:val="015276EE"/>
    <w:rsid w:val="01657C13"/>
    <w:rsid w:val="016A5229"/>
    <w:rsid w:val="016C4F8A"/>
    <w:rsid w:val="016F6310"/>
    <w:rsid w:val="017B34E6"/>
    <w:rsid w:val="01815CA7"/>
    <w:rsid w:val="018E0940"/>
    <w:rsid w:val="019D2E51"/>
    <w:rsid w:val="01AA0146"/>
    <w:rsid w:val="01AB6BE3"/>
    <w:rsid w:val="01C34939"/>
    <w:rsid w:val="01CC42A7"/>
    <w:rsid w:val="01CC7C92"/>
    <w:rsid w:val="01CE3A0A"/>
    <w:rsid w:val="01D803E5"/>
    <w:rsid w:val="01DE1773"/>
    <w:rsid w:val="01DF34DE"/>
    <w:rsid w:val="01E943A0"/>
    <w:rsid w:val="02051CBB"/>
    <w:rsid w:val="02104DC9"/>
    <w:rsid w:val="021E7DFF"/>
    <w:rsid w:val="0224187C"/>
    <w:rsid w:val="022655F4"/>
    <w:rsid w:val="022950E4"/>
    <w:rsid w:val="022C0730"/>
    <w:rsid w:val="02331ABF"/>
    <w:rsid w:val="02377801"/>
    <w:rsid w:val="023B5E05"/>
    <w:rsid w:val="024376A0"/>
    <w:rsid w:val="025232EC"/>
    <w:rsid w:val="02523914"/>
    <w:rsid w:val="025B1AC3"/>
    <w:rsid w:val="025B2DC4"/>
    <w:rsid w:val="026659F0"/>
    <w:rsid w:val="02770F36"/>
    <w:rsid w:val="027F25B6"/>
    <w:rsid w:val="028E13EB"/>
    <w:rsid w:val="0291319A"/>
    <w:rsid w:val="02920B9A"/>
    <w:rsid w:val="029702A0"/>
    <w:rsid w:val="029A1EC3"/>
    <w:rsid w:val="029D7486"/>
    <w:rsid w:val="02AE7397"/>
    <w:rsid w:val="02B77CCF"/>
    <w:rsid w:val="02CA1EB5"/>
    <w:rsid w:val="02CC0F83"/>
    <w:rsid w:val="02D432A2"/>
    <w:rsid w:val="02D83AC4"/>
    <w:rsid w:val="02DE0532"/>
    <w:rsid w:val="02DF57A3"/>
    <w:rsid w:val="02EC1CAF"/>
    <w:rsid w:val="03127926"/>
    <w:rsid w:val="03243895"/>
    <w:rsid w:val="032F2286"/>
    <w:rsid w:val="032F46AE"/>
    <w:rsid w:val="03321D76"/>
    <w:rsid w:val="0334789D"/>
    <w:rsid w:val="034E5635"/>
    <w:rsid w:val="03577173"/>
    <w:rsid w:val="035E7B89"/>
    <w:rsid w:val="03602490"/>
    <w:rsid w:val="0361265C"/>
    <w:rsid w:val="0368794D"/>
    <w:rsid w:val="03710AF1"/>
    <w:rsid w:val="0379160A"/>
    <w:rsid w:val="0381685A"/>
    <w:rsid w:val="0385459C"/>
    <w:rsid w:val="03A03184"/>
    <w:rsid w:val="03A72554"/>
    <w:rsid w:val="03B1734F"/>
    <w:rsid w:val="03B65EAD"/>
    <w:rsid w:val="03B968E0"/>
    <w:rsid w:val="03BE1329"/>
    <w:rsid w:val="03CC3F79"/>
    <w:rsid w:val="03D73579"/>
    <w:rsid w:val="03DD6186"/>
    <w:rsid w:val="03F03ACD"/>
    <w:rsid w:val="03F84D6E"/>
    <w:rsid w:val="04074FB1"/>
    <w:rsid w:val="040D7377"/>
    <w:rsid w:val="040F6DEE"/>
    <w:rsid w:val="0412273B"/>
    <w:rsid w:val="04144AD2"/>
    <w:rsid w:val="04286AF5"/>
    <w:rsid w:val="042E69E2"/>
    <w:rsid w:val="04351B68"/>
    <w:rsid w:val="04406715"/>
    <w:rsid w:val="046B19E4"/>
    <w:rsid w:val="04730898"/>
    <w:rsid w:val="04893C18"/>
    <w:rsid w:val="048B443B"/>
    <w:rsid w:val="048D6DBC"/>
    <w:rsid w:val="04A942BA"/>
    <w:rsid w:val="04C410F4"/>
    <w:rsid w:val="04C91A28"/>
    <w:rsid w:val="04CE1CB1"/>
    <w:rsid w:val="04CE1F73"/>
    <w:rsid w:val="04D806FC"/>
    <w:rsid w:val="04E23328"/>
    <w:rsid w:val="04F03C97"/>
    <w:rsid w:val="04FA4B16"/>
    <w:rsid w:val="050E22BB"/>
    <w:rsid w:val="051E6A56"/>
    <w:rsid w:val="053C512E"/>
    <w:rsid w:val="055C132D"/>
    <w:rsid w:val="05654B72"/>
    <w:rsid w:val="057776AE"/>
    <w:rsid w:val="05796422"/>
    <w:rsid w:val="05844262"/>
    <w:rsid w:val="05856AD5"/>
    <w:rsid w:val="059E1945"/>
    <w:rsid w:val="05A31FC3"/>
    <w:rsid w:val="05BF2437"/>
    <w:rsid w:val="05C375FE"/>
    <w:rsid w:val="05CA098C"/>
    <w:rsid w:val="05E05ABA"/>
    <w:rsid w:val="05E41A4E"/>
    <w:rsid w:val="05E664AB"/>
    <w:rsid w:val="05EB40BB"/>
    <w:rsid w:val="05F257ED"/>
    <w:rsid w:val="05F77C7C"/>
    <w:rsid w:val="06304C93"/>
    <w:rsid w:val="063511BA"/>
    <w:rsid w:val="063634F0"/>
    <w:rsid w:val="06371796"/>
    <w:rsid w:val="06641E8F"/>
    <w:rsid w:val="066C559F"/>
    <w:rsid w:val="06806CD7"/>
    <w:rsid w:val="06862B05"/>
    <w:rsid w:val="069638EE"/>
    <w:rsid w:val="06A55191"/>
    <w:rsid w:val="06A76315"/>
    <w:rsid w:val="06AE66F8"/>
    <w:rsid w:val="06C21663"/>
    <w:rsid w:val="06CB49BC"/>
    <w:rsid w:val="06D870D9"/>
    <w:rsid w:val="06DA4BFF"/>
    <w:rsid w:val="06DC2725"/>
    <w:rsid w:val="06DF1025"/>
    <w:rsid w:val="06DF3FC3"/>
    <w:rsid w:val="06E415DA"/>
    <w:rsid w:val="06E927E2"/>
    <w:rsid w:val="06FA0DFD"/>
    <w:rsid w:val="07035538"/>
    <w:rsid w:val="071E0F8F"/>
    <w:rsid w:val="071F0864"/>
    <w:rsid w:val="07222102"/>
    <w:rsid w:val="07251AD2"/>
    <w:rsid w:val="074958E1"/>
    <w:rsid w:val="074F3901"/>
    <w:rsid w:val="074F739B"/>
    <w:rsid w:val="0753050F"/>
    <w:rsid w:val="075E19C5"/>
    <w:rsid w:val="0765096C"/>
    <w:rsid w:val="076B5857"/>
    <w:rsid w:val="076C0391"/>
    <w:rsid w:val="07834C41"/>
    <w:rsid w:val="0784228F"/>
    <w:rsid w:val="07954D8F"/>
    <w:rsid w:val="07AA45D1"/>
    <w:rsid w:val="07BC1E74"/>
    <w:rsid w:val="07D4164E"/>
    <w:rsid w:val="07DD5554"/>
    <w:rsid w:val="07E01DA1"/>
    <w:rsid w:val="07E3078C"/>
    <w:rsid w:val="07EB2099"/>
    <w:rsid w:val="080261BB"/>
    <w:rsid w:val="080E5FD9"/>
    <w:rsid w:val="0823513D"/>
    <w:rsid w:val="082779D0"/>
    <w:rsid w:val="08306341"/>
    <w:rsid w:val="0831084F"/>
    <w:rsid w:val="08390944"/>
    <w:rsid w:val="083B00B0"/>
    <w:rsid w:val="083D5445"/>
    <w:rsid w:val="08484C9B"/>
    <w:rsid w:val="084B01E3"/>
    <w:rsid w:val="085534F5"/>
    <w:rsid w:val="0858402D"/>
    <w:rsid w:val="086C5D6E"/>
    <w:rsid w:val="088077A2"/>
    <w:rsid w:val="08983511"/>
    <w:rsid w:val="08A47272"/>
    <w:rsid w:val="08A47372"/>
    <w:rsid w:val="08A92ADB"/>
    <w:rsid w:val="08A94BFC"/>
    <w:rsid w:val="08B33959"/>
    <w:rsid w:val="08BB4EFD"/>
    <w:rsid w:val="08C97978"/>
    <w:rsid w:val="08DF52C9"/>
    <w:rsid w:val="08EB4EA1"/>
    <w:rsid w:val="08F301FA"/>
    <w:rsid w:val="09075A53"/>
    <w:rsid w:val="090D12BC"/>
    <w:rsid w:val="09180178"/>
    <w:rsid w:val="091A5787"/>
    <w:rsid w:val="091C32AD"/>
    <w:rsid w:val="091D75BB"/>
    <w:rsid w:val="095C7B4D"/>
    <w:rsid w:val="09707B14"/>
    <w:rsid w:val="098B0432"/>
    <w:rsid w:val="09946A31"/>
    <w:rsid w:val="09975029"/>
    <w:rsid w:val="09A8336D"/>
    <w:rsid w:val="09AB2883"/>
    <w:rsid w:val="09B07E99"/>
    <w:rsid w:val="09B7601C"/>
    <w:rsid w:val="09BA3FD5"/>
    <w:rsid w:val="09BC13BE"/>
    <w:rsid w:val="09C518CF"/>
    <w:rsid w:val="09CB296E"/>
    <w:rsid w:val="09D43B87"/>
    <w:rsid w:val="09D5345C"/>
    <w:rsid w:val="09D675ED"/>
    <w:rsid w:val="09D678FF"/>
    <w:rsid w:val="09D771D4"/>
    <w:rsid w:val="09D96E34"/>
    <w:rsid w:val="09DC3682"/>
    <w:rsid w:val="09DE0891"/>
    <w:rsid w:val="09E3201C"/>
    <w:rsid w:val="09E91DBB"/>
    <w:rsid w:val="09E96B55"/>
    <w:rsid w:val="09EB4B6A"/>
    <w:rsid w:val="09EB754E"/>
    <w:rsid w:val="09EC52C7"/>
    <w:rsid w:val="09EF6C13"/>
    <w:rsid w:val="09FC30DE"/>
    <w:rsid w:val="0A0F0A13"/>
    <w:rsid w:val="0A1246B0"/>
    <w:rsid w:val="0A1354D3"/>
    <w:rsid w:val="0A195207"/>
    <w:rsid w:val="0A3E7F78"/>
    <w:rsid w:val="0A3F3469"/>
    <w:rsid w:val="0A40746F"/>
    <w:rsid w:val="0A48596D"/>
    <w:rsid w:val="0A5823CF"/>
    <w:rsid w:val="0A5A37A8"/>
    <w:rsid w:val="0A5B7E05"/>
    <w:rsid w:val="0A650C83"/>
    <w:rsid w:val="0A786C09"/>
    <w:rsid w:val="0A7D7D7B"/>
    <w:rsid w:val="0A805ABD"/>
    <w:rsid w:val="0A9D041D"/>
    <w:rsid w:val="0AAA37AF"/>
    <w:rsid w:val="0ABC344C"/>
    <w:rsid w:val="0AC00DC5"/>
    <w:rsid w:val="0AD83203"/>
    <w:rsid w:val="0AE02E63"/>
    <w:rsid w:val="0AE222D4"/>
    <w:rsid w:val="0AF3120E"/>
    <w:rsid w:val="0AF50259"/>
    <w:rsid w:val="0AF70459"/>
    <w:rsid w:val="0AFA70FB"/>
    <w:rsid w:val="0AFB5144"/>
    <w:rsid w:val="0AFC61E3"/>
    <w:rsid w:val="0B04049C"/>
    <w:rsid w:val="0B073AE9"/>
    <w:rsid w:val="0B1032E7"/>
    <w:rsid w:val="0B1A7353"/>
    <w:rsid w:val="0B1A7CC0"/>
    <w:rsid w:val="0B1D50BA"/>
    <w:rsid w:val="0B2823DD"/>
    <w:rsid w:val="0B291CB1"/>
    <w:rsid w:val="0B303499"/>
    <w:rsid w:val="0B40624E"/>
    <w:rsid w:val="0B4B1B81"/>
    <w:rsid w:val="0B542FB0"/>
    <w:rsid w:val="0B671CEB"/>
    <w:rsid w:val="0B6E1EE8"/>
    <w:rsid w:val="0B7C0033"/>
    <w:rsid w:val="0B845AA7"/>
    <w:rsid w:val="0B9063A0"/>
    <w:rsid w:val="0B995089"/>
    <w:rsid w:val="0B9C5F44"/>
    <w:rsid w:val="0B9F50FC"/>
    <w:rsid w:val="0BAB4DBC"/>
    <w:rsid w:val="0BC35C62"/>
    <w:rsid w:val="0BD13855"/>
    <w:rsid w:val="0BE132E6"/>
    <w:rsid w:val="0BEF2EFA"/>
    <w:rsid w:val="0BF26547"/>
    <w:rsid w:val="0BFE0888"/>
    <w:rsid w:val="0C1069CD"/>
    <w:rsid w:val="0C1636F6"/>
    <w:rsid w:val="0C2A5CE1"/>
    <w:rsid w:val="0C345E85"/>
    <w:rsid w:val="0C4F1BEB"/>
    <w:rsid w:val="0C727A87"/>
    <w:rsid w:val="0C776A4C"/>
    <w:rsid w:val="0C7A3AB8"/>
    <w:rsid w:val="0C7D396A"/>
    <w:rsid w:val="0C803B53"/>
    <w:rsid w:val="0C90757C"/>
    <w:rsid w:val="0C941642"/>
    <w:rsid w:val="0CA305A5"/>
    <w:rsid w:val="0CBB4B8B"/>
    <w:rsid w:val="0CBD6B55"/>
    <w:rsid w:val="0CC67F5A"/>
    <w:rsid w:val="0CD6014C"/>
    <w:rsid w:val="0CEE4F60"/>
    <w:rsid w:val="0CF26B87"/>
    <w:rsid w:val="0CF63DAA"/>
    <w:rsid w:val="0D0B5815"/>
    <w:rsid w:val="0D0B5B12"/>
    <w:rsid w:val="0D0C188A"/>
    <w:rsid w:val="0D3170FD"/>
    <w:rsid w:val="0D374B59"/>
    <w:rsid w:val="0D447276"/>
    <w:rsid w:val="0D4B23B2"/>
    <w:rsid w:val="0D4B43E9"/>
    <w:rsid w:val="0D4E59FF"/>
    <w:rsid w:val="0D671F80"/>
    <w:rsid w:val="0D782A7C"/>
    <w:rsid w:val="0D8633EB"/>
    <w:rsid w:val="0D885842"/>
    <w:rsid w:val="0DE46CE5"/>
    <w:rsid w:val="0DE71A5B"/>
    <w:rsid w:val="0DEE51E4"/>
    <w:rsid w:val="0E036825"/>
    <w:rsid w:val="0E082052"/>
    <w:rsid w:val="0E083E00"/>
    <w:rsid w:val="0E0A5DCA"/>
    <w:rsid w:val="0E0D1416"/>
    <w:rsid w:val="0E1C5AFD"/>
    <w:rsid w:val="0E3C1CFB"/>
    <w:rsid w:val="0E3E4C8C"/>
    <w:rsid w:val="0E455054"/>
    <w:rsid w:val="0E511C4A"/>
    <w:rsid w:val="0E572FD9"/>
    <w:rsid w:val="0E57664F"/>
    <w:rsid w:val="0E59465B"/>
    <w:rsid w:val="0E5E1C72"/>
    <w:rsid w:val="0E664FCA"/>
    <w:rsid w:val="0E6C3B57"/>
    <w:rsid w:val="0E7B2A74"/>
    <w:rsid w:val="0E8060A7"/>
    <w:rsid w:val="0E8C2C83"/>
    <w:rsid w:val="0E924011"/>
    <w:rsid w:val="0E95212F"/>
    <w:rsid w:val="0EC641E2"/>
    <w:rsid w:val="0ED061FA"/>
    <w:rsid w:val="0ED14B39"/>
    <w:rsid w:val="0ED65CAC"/>
    <w:rsid w:val="0EFE379D"/>
    <w:rsid w:val="0F050A01"/>
    <w:rsid w:val="0F056591"/>
    <w:rsid w:val="0F0A1DF9"/>
    <w:rsid w:val="0F112C81"/>
    <w:rsid w:val="0F1A64E0"/>
    <w:rsid w:val="0F1D0018"/>
    <w:rsid w:val="0F2760D3"/>
    <w:rsid w:val="0F296723"/>
    <w:rsid w:val="0F2C6214"/>
    <w:rsid w:val="0F2E3D3A"/>
    <w:rsid w:val="0F3A26DF"/>
    <w:rsid w:val="0F3A448D"/>
    <w:rsid w:val="0F4672D5"/>
    <w:rsid w:val="0F4E7A34"/>
    <w:rsid w:val="0F592E73"/>
    <w:rsid w:val="0F5A4B2F"/>
    <w:rsid w:val="0F5B6442"/>
    <w:rsid w:val="0F601A19"/>
    <w:rsid w:val="0F6459AD"/>
    <w:rsid w:val="0F655282"/>
    <w:rsid w:val="0F724395"/>
    <w:rsid w:val="0F7D25CB"/>
    <w:rsid w:val="0F8235A8"/>
    <w:rsid w:val="0F865924"/>
    <w:rsid w:val="0F9919AD"/>
    <w:rsid w:val="0F9D0EBF"/>
    <w:rsid w:val="0FA54D81"/>
    <w:rsid w:val="0FAB63B4"/>
    <w:rsid w:val="0FC10C17"/>
    <w:rsid w:val="0FCA6972"/>
    <w:rsid w:val="0FD33F2A"/>
    <w:rsid w:val="0FF639B5"/>
    <w:rsid w:val="0FF72454"/>
    <w:rsid w:val="1005251F"/>
    <w:rsid w:val="100827DD"/>
    <w:rsid w:val="100A5F72"/>
    <w:rsid w:val="10194D85"/>
    <w:rsid w:val="10216E38"/>
    <w:rsid w:val="102F3C63"/>
    <w:rsid w:val="10321608"/>
    <w:rsid w:val="103F3D25"/>
    <w:rsid w:val="10484987"/>
    <w:rsid w:val="10511EE9"/>
    <w:rsid w:val="10680A68"/>
    <w:rsid w:val="106B3FBF"/>
    <w:rsid w:val="10767953"/>
    <w:rsid w:val="10790BBF"/>
    <w:rsid w:val="107A497C"/>
    <w:rsid w:val="107B5FF2"/>
    <w:rsid w:val="107D7324"/>
    <w:rsid w:val="108C4D4A"/>
    <w:rsid w:val="109E4EEF"/>
    <w:rsid w:val="10AE5478"/>
    <w:rsid w:val="10CB7636"/>
    <w:rsid w:val="10CC68F7"/>
    <w:rsid w:val="10D510E7"/>
    <w:rsid w:val="10D775F6"/>
    <w:rsid w:val="10E000F9"/>
    <w:rsid w:val="10F52C7D"/>
    <w:rsid w:val="10F8474E"/>
    <w:rsid w:val="11050ACA"/>
    <w:rsid w:val="110B729A"/>
    <w:rsid w:val="11141552"/>
    <w:rsid w:val="11182DAA"/>
    <w:rsid w:val="111D7BC2"/>
    <w:rsid w:val="1125116C"/>
    <w:rsid w:val="11290A8C"/>
    <w:rsid w:val="113B0990"/>
    <w:rsid w:val="11510111"/>
    <w:rsid w:val="11571AB0"/>
    <w:rsid w:val="115A0E16"/>
    <w:rsid w:val="115E7D45"/>
    <w:rsid w:val="11692D65"/>
    <w:rsid w:val="11722C3F"/>
    <w:rsid w:val="117D2D56"/>
    <w:rsid w:val="117D4B05"/>
    <w:rsid w:val="11826726"/>
    <w:rsid w:val="118C58C1"/>
    <w:rsid w:val="119B76A9"/>
    <w:rsid w:val="119E6DF5"/>
    <w:rsid w:val="11A26319"/>
    <w:rsid w:val="11A307BC"/>
    <w:rsid w:val="11A55E09"/>
    <w:rsid w:val="11BF210D"/>
    <w:rsid w:val="11C95F9C"/>
    <w:rsid w:val="11CA2ABF"/>
    <w:rsid w:val="11E0395F"/>
    <w:rsid w:val="11E5636A"/>
    <w:rsid w:val="11E93843"/>
    <w:rsid w:val="11E93EE6"/>
    <w:rsid w:val="11EE77B0"/>
    <w:rsid w:val="11F56775"/>
    <w:rsid w:val="11F823DD"/>
    <w:rsid w:val="120274A2"/>
    <w:rsid w:val="120B2110"/>
    <w:rsid w:val="12135191"/>
    <w:rsid w:val="12241424"/>
    <w:rsid w:val="122B630F"/>
    <w:rsid w:val="1233302F"/>
    <w:rsid w:val="12480EBC"/>
    <w:rsid w:val="124D0F6D"/>
    <w:rsid w:val="12533255"/>
    <w:rsid w:val="125A151B"/>
    <w:rsid w:val="12614426"/>
    <w:rsid w:val="126410EF"/>
    <w:rsid w:val="127001C5"/>
    <w:rsid w:val="127203E1"/>
    <w:rsid w:val="12727EA3"/>
    <w:rsid w:val="12753A2E"/>
    <w:rsid w:val="12817330"/>
    <w:rsid w:val="12B300FC"/>
    <w:rsid w:val="12B31637"/>
    <w:rsid w:val="12B97DBE"/>
    <w:rsid w:val="12BA1C76"/>
    <w:rsid w:val="12BA6202"/>
    <w:rsid w:val="12BB404F"/>
    <w:rsid w:val="12CA5B28"/>
    <w:rsid w:val="12CB5FB8"/>
    <w:rsid w:val="12D1335A"/>
    <w:rsid w:val="12DE62B9"/>
    <w:rsid w:val="12E35276"/>
    <w:rsid w:val="12E454DE"/>
    <w:rsid w:val="12EA5817"/>
    <w:rsid w:val="12F2507E"/>
    <w:rsid w:val="12F62DC8"/>
    <w:rsid w:val="130C0318"/>
    <w:rsid w:val="130D7A78"/>
    <w:rsid w:val="131208EA"/>
    <w:rsid w:val="13137C73"/>
    <w:rsid w:val="1324792E"/>
    <w:rsid w:val="13367661"/>
    <w:rsid w:val="133E2072"/>
    <w:rsid w:val="13403C24"/>
    <w:rsid w:val="134478ED"/>
    <w:rsid w:val="134F427F"/>
    <w:rsid w:val="135263FA"/>
    <w:rsid w:val="135B0E75"/>
    <w:rsid w:val="135D2E40"/>
    <w:rsid w:val="13623FB2"/>
    <w:rsid w:val="137612B1"/>
    <w:rsid w:val="138A3E9E"/>
    <w:rsid w:val="138B304B"/>
    <w:rsid w:val="138C6DED"/>
    <w:rsid w:val="13946135"/>
    <w:rsid w:val="1397336A"/>
    <w:rsid w:val="13A50343"/>
    <w:rsid w:val="13AE369B"/>
    <w:rsid w:val="13BD568C"/>
    <w:rsid w:val="13BF22AD"/>
    <w:rsid w:val="13C20EF5"/>
    <w:rsid w:val="13C24A51"/>
    <w:rsid w:val="13C4105E"/>
    <w:rsid w:val="13CE5AEB"/>
    <w:rsid w:val="13D1738A"/>
    <w:rsid w:val="13D80718"/>
    <w:rsid w:val="13D93BA8"/>
    <w:rsid w:val="13E1581F"/>
    <w:rsid w:val="13E24B70"/>
    <w:rsid w:val="13EF0CC1"/>
    <w:rsid w:val="13F563EC"/>
    <w:rsid w:val="13FF7A53"/>
    <w:rsid w:val="14244FEC"/>
    <w:rsid w:val="144E391B"/>
    <w:rsid w:val="145139F1"/>
    <w:rsid w:val="146849E3"/>
    <w:rsid w:val="1469117E"/>
    <w:rsid w:val="14711B9F"/>
    <w:rsid w:val="14720225"/>
    <w:rsid w:val="14795A57"/>
    <w:rsid w:val="147F2942"/>
    <w:rsid w:val="14817958"/>
    <w:rsid w:val="149F1A6D"/>
    <w:rsid w:val="14A03128"/>
    <w:rsid w:val="14A30D26"/>
    <w:rsid w:val="14BE346A"/>
    <w:rsid w:val="14C33176"/>
    <w:rsid w:val="14C76FEA"/>
    <w:rsid w:val="14C91409"/>
    <w:rsid w:val="14CF5677"/>
    <w:rsid w:val="14D62EA9"/>
    <w:rsid w:val="14F71062"/>
    <w:rsid w:val="14FB0157"/>
    <w:rsid w:val="15057309"/>
    <w:rsid w:val="15082C53"/>
    <w:rsid w:val="151376CD"/>
    <w:rsid w:val="151632A6"/>
    <w:rsid w:val="15175270"/>
    <w:rsid w:val="151B6B0E"/>
    <w:rsid w:val="151F0B85"/>
    <w:rsid w:val="15202377"/>
    <w:rsid w:val="153259C9"/>
    <w:rsid w:val="153B724F"/>
    <w:rsid w:val="154047C7"/>
    <w:rsid w:val="15455939"/>
    <w:rsid w:val="154A617D"/>
    <w:rsid w:val="15667FE8"/>
    <w:rsid w:val="156D5D5E"/>
    <w:rsid w:val="156E30E2"/>
    <w:rsid w:val="1577787B"/>
    <w:rsid w:val="158226E9"/>
    <w:rsid w:val="159B19FD"/>
    <w:rsid w:val="159E5049"/>
    <w:rsid w:val="15AC7A04"/>
    <w:rsid w:val="15AD597E"/>
    <w:rsid w:val="15C40F54"/>
    <w:rsid w:val="15E909BB"/>
    <w:rsid w:val="15F15AC1"/>
    <w:rsid w:val="15FE5A51"/>
    <w:rsid w:val="161E6396"/>
    <w:rsid w:val="162419F3"/>
    <w:rsid w:val="162D1DF8"/>
    <w:rsid w:val="163559AE"/>
    <w:rsid w:val="163D2AB4"/>
    <w:rsid w:val="1642631D"/>
    <w:rsid w:val="16461969"/>
    <w:rsid w:val="165027E8"/>
    <w:rsid w:val="1651030E"/>
    <w:rsid w:val="165A0C46"/>
    <w:rsid w:val="165F11A5"/>
    <w:rsid w:val="16620D37"/>
    <w:rsid w:val="167A5230"/>
    <w:rsid w:val="168D7598"/>
    <w:rsid w:val="168F547E"/>
    <w:rsid w:val="1692185F"/>
    <w:rsid w:val="16A677CD"/>
    <w:rsid w:val="16A96F60"/>
    <w:rsid w:val="16E46649"/>
    <w:rsid w:val="16EB2510"/>
    <w:rsid w:val="16FF7D6A"/>
    <w:rsid w:val="17104AB6"/>
    <w:rsid w:val="171C22C3"/>
    <w:rsid w:val="172F064F"/>
    <w:rsid w:val="172F4C87"/>
    <w:rsid w:val="17325EFB"/>
    <w:rsid w:val="1734612F"/>
    <w:rsid w:val="17377504"/>
    <w:rsid w:val="173974B1"/>
    <w:rsid w:val="175005C5"/>
    <w:rsid w:val="17837902"/>
    <w:rsid w:val="17852A93"/>
    <w:rsid w:val="17A67C85"/>
    <w:rsid w:val="17B108BB"/>
    <w:rsid w:val="17BD3FF5"/>
    <w:rsid w:val="17D01AA8"/>
    <w:rsid w:val="17D15BAA"/>
    <w:rsid w:val="17F02CDB"/>
    <w:rsid w:val="17F24636"/>
    <w:rsid w:val="17FE0021"/>
    <w:rsid w:val="18027033"/>
    <w:rsid w:val="1807337A"/>
    <w:rsid w:val="180A2E6A"/>
    <w:rsid w:val="1816180F"/>
    <w:rsid w:val="18253800"/>
    <w:rsid w:val="18256ADE"/>
    <w:rsid w:val="18277578"/>
    <w:rsid w:val="183B4E85"/>
    <w:rsid w:val="183D032B"/>
    <w:rsid w:val="18421939"/>
    <w:rsid w:val="185F4F64"/>
    <w:rsid w:val="186B3909"/>
    <w:rsid w:val="18730A0F"/>
    <w:rsid w:val="187B180C"/>
    <w:rsid w:val="187B6444"/>
    <w:rsid w:val="1881312C"/>
    <w:rsid w:val="18826EA4"/>
    <w:rsid w:val="18926AFD"/>
    <w:rsid w:val="189746FE"/>
    <w:rsid w:val="18A549B7"/>
    <w:rsid w:val="18B3641F"/>
    <w:rsid w:val="18BA4890"/>
    <w:rsid w:val="18C9062F"/>
    <w:rsid w:val="18D3337D"/>
    <w:rsid w:val="18DD40DB"/>
    <w:rsid w:val="18E91161"/>
    <w:rsid w:val="18EC0B49"/>
    <w:rsid w:val="18F163A3"/>
    <w:rsid w:val="18F51424"/>
    <w:rsid w:val="18F733EE"/>
    <w:rsid w:val="18F913E2"/>
    <w:rsid w:val="19127395"/>
    <w:rsid w:val="19137AFC"/>
    <w:rsid w:val="191915B7"/>
    <w:rsid w:val="192561AE"/>
    <w:rsid w:val="192A37C4"/>
    <w:rsid w:val="192C753C"/>
    <w:rsid w:val="19450C2C"/>
    <w:rsid w:val="194A79C2"/>
    <w:rsid w:val="19632832"/>
    <w:rsid w:val="19650CF3"/>
    <w:rsid w:val="19665FA6"/>
    <w:rsid w:val="19673150"/>
    <w:rsid w:val="196C5B8A"/>
    <w:rsid w:val="19704C26"/>
    <w:rsid w:val="1982467D"/>
    <w:rsid w:val="199044E1"/>
    <w:rsid w:val="19996FF5"/>
    <w:rsid w:val="199E57CD"/>
    <w:rsid w:val="19A43300"/>
    <w:rsid w:val="19AD1CFF"/>
    <w:rsid w:val="19BC405C"/>
    <w:rsid w:val="19BE215E"/>
    <w:rsid w:val="19CE6698"/>
    <w:rsid w:val="19E219A9"/>
    <w:rsid w:val="19E42F9F"/>
    <w:rsid w:val="19E80F89"/>
    <w:rsid w:val="19F62E19"/>
    <w:rsid w:val="19F702F7"/>
    <w:rsid w:val="19FD4A34"/>
    <w:rsid w:val="1A0758B3"/>
    <w:rsid w:val="1A0A5A83"/>
    <w:rsid w:val="1A0D279E"/>
    <w:rsid w:val="1A1C2024"/>
    <w:rsid w:val="1A2A15A2"/>
    <w:rsid w:val="1A2A74CC"/>
    <w:rsid w:val="1A2B62C8"/>
    <w:rsid w:val="1A3500F1"/>
    <w:rsid w:val="1A3E3248"/>
    <w:rsid w:val="1A400DC5"/>
    <w:rsid w:val="1A7D5B75"/>
    <w:rsid w:val="1A8A3DEE"/>
    <w:rsid w:val="1A9133CF"/>
    <w:rsid w:val="1A940DA9"/>
    <w:rsid w:val="1A9772DF"/>
    <w:rsid w:val="1A9A3F40"/>
    <w:rsid w:val="1AA31326"/>
    <w:rsid w:val="1AA80E44"/>
    <w:rsid w:val="1AAC1FB7"/>
    <w:rsid w:val="1AB64BE3"/>
    <w:rsid w:val="1AB64FE6"/>
    <w:rsid w:val="1ACA4FEB"/>
    <w:rsid w:val="1ACC5192"/>
    <w:rsid w:val="1AD82DAC"/>
    <w:rsid w:val="1AE904A6"/>
    <w:rsid w:val="1AE9320B"/>
    <w:rsid w:val="1AF04439"/>
    <w:rsid w:val="1AF23244"/>
    <w:rsid w:val="1AFE3235"/>
    <w:rsid w:val="1B050ABD"/>
    <w:rsid w:val="1B0D0CA7"/>
    <w:rsid w:val="1B212333"/>
    <w:rsid w:val="1B34092A"/>
    <w:rsid w:val="1B365091"/>
    <w:rsid w:val="1B397CEE"/>
    <w:rsid w:val="1B4A333E"/>
    <w:rsid w:val="1B4D379A"/>
    <w:rsid w:val="1B6235D9"/>
    <w:rsid w:val="1B6805D3"/>
    <w:rsid w:val="1B6F1962"/>
    <w:rsid w:val="1B722124"/>
    <w:rsid w:val="1B723200"/>
    <w:rsid w:val="1B8076CB"/>
    <w:rsid w:val="1B851185"/>
    <w:rsid w:val="1B8E6546"/>
    <w:rsid w:val="1B9B0474"/>
    <w:rsid w:val="1BA01B1B"/>
    <w:rsid w:val="1BA3785E"/>
    <w:rsid w:val="1BAB6A9B"/>
    <w:rsid w:val="1BBD7CBF"/>
    <w:rsid w:val="1BBE01F3"/>
    <w:rsid w:val="1BC05D1A"/>
    <w:rsid w:val="1BC87C70"/>
    <w:rsid w:val="1BDF7419"/>
    <w:rsid w:val="1BEA1E5D"/>
    <w:rsid w:val="1BEE4AD0"/>
    <w:rsid w:val="1BFC2ACA"/>
    <w:rsid w:val="1C096D36"/>
    <w:rsid w:val="1C107AF5"/>
    <w:rsid w:val="1C1B3898"/>
    <w:rsid w:val="1C1C6602"/>
    <w:rsid w:val="1C205539"/>
    <w:rsid w:val="1C2D1B56"/>
    <w:rsid w:val="1C2D7127"/>
    <w:rsid w:val="1C2F4C4D"/>
    <w:rsid w:val="1C3B6C63"/>
    <w:rsid w:val="1C4000B2"/>
    <w:rsid w:val="1C482A17"/>
    <w:rsid w:val="1C4C0CF3"/>
    <w:rsid w:val="1C524FE6"/>
    <w:rsid w:val="1C5B1EE6"/>
    <w:rsid w:val="1C672639"/>
    <w:rsid w:val="1C707F80"/>
    <w:rsid w:val="1C760ACE"/>
    <w:rsid w:val="1C821221"/>
    <w:rsid w:val="1C875D8D"/>
    <w:rsid w:val="1C8E7ED4"/>
    <w:rsid w:val="1C9F6277"/>
    <w:rsid w:val="1CA613B3"/>
    <w:rsid w:val="1CAD5393"/>
    <w:rsid w:val="1CDF0421"/>
    <w:rsid w:val="1CDF203E"/>
    <w:rsid w:val="1CF37D41"/>
    <w:rsid w:val="1CFC179E"/>
    <w:rsid w:val="1CFD1DFA"/>
    <w:rsid w:val="1CFE79ED"/>
    <w:rsid w:val="1D01483C"/>
    <w:rsid w:val="1D032ACB"/>
    <w:rsid w:val="1D063C00"/>
    <w:rsid w:val="1D0B7468"/>
    <w:rsid w:val="1D110E86"/>
    <w:rsid w:val="1D1207F7"/>
    <w:rsid w:val="1D206E59"/>
    <w:rsid w:val="1D3712AF"/>
    <w:rsid w:val="1D464944"/>
    <w:rsid w:val="1D487E55"/>
    <w:rsid w:val="1D4961E3"/>
    <w:rsid w:val="1D507571"/>
    <w:rsid w:val="1D596426"/>
    <w:rsid w:val="1D5A19BD"/>
    <w:rsid w:val="1D5A7FB3"/>
    <w:rsid w:val="1D637C02"/>
    <w:rsid w:val="1D6F3E9B"/>
    <w:rsid w:val="1D7C2114"/>
    <w:rsid w:val="1D8673FA"/>
    <w:rsid w:val="1D8F3529"/>
    <w:rsid w:val="1D9072CB"/>
    <w:rsid w:val="1D976F4E"/>
    <w:rsid w:val="1D9E652E"/>
    <w:rsid w:val="1DA530EA"/>
    <w:rsid w:val="1DA82B34"/>
    <w:rsid w:val="1DAF6046"/>
    <w:rsid w:val="1DB960E5"/>
    <w:rsid w:val="1DC767F5"/>
    <w:rsid w:val="1DD45AAC"/>
    <w:rsid w:val="1DDB719F"/>
    <w:rsid w:val="1DFC5003"/>
    <w:rsid w:val="1E004AF3"/>
    <w:rsid w:val="1E0277E4"/>
    <w:rsid w:val="1E032835"/>
    <w:rsid w:val="1E0A387F"/>
    <w:rsid w:val="1E122A78"/>
    <w:rsid w:val="1E2527AC"/>
    <w:rsid w:val="1E296067"/>
    <w:rsid w:val="1E42335E"/>
    <w:rsid w:val="1E543091"/>
    <w:rsid w:val="1E5E5132"/>
    <w:rsid w:val="1E6E4153"/>
    <w:rsid w:val="1E735627"/>
    <w:rsid w:val="1EA336D1"/>
    <w:rsid w:val="1EB14D57"/>
    <w:rsid w:val="1EB1601C"/>
    <w:rsid w:val="1EBE5EA1"/>
    <w:rsid w:val="1EC41E3F"/>
    <w:rsid w:val="1ECE4BF1"/>
    <w:rsid w:val="1ED27DCF"/>
    <w:rsid w:val="1EF87EC0"/>
    <w:rsid w:val="1F022D8D"/>
    <w:rsid w:val="1F040613"/>
    <w:rsid w:val="1F0D6D94"/>
    <w:rsid w:val="1F134CFA"/>
    <w:rsid w:val="1F186F92"/>
    <w:rsid w:val="1F2100E2"/>
    <w:rsid w:val="1F2138EB"/>
    <w:rsid w:val="1F6F1B08"/>
    <w:rsid w:val="1F71091D"/>
    <w:rsid w:val="1F860324"/>
    <w:rsid w:val="1F8F25D3"/>
    <w:rsid w:val="1F925C1F"/>
    <w:rsid w:val="1F933A50"/>
    <w:rsid w:val="1FA3607E"/>
    <w:rsid w:val="1FA45298"/>
    <w:rsid w:val="1FB22E97"/>
    <w:rsid w:val="1FBE07C2"/>
    <w:rsid w:val="1FF72E31"/>
    <w:rsid w:val="1FF74EA9"/>
    <w:rsid w:val="1FFC0927"/>
    <w:rsid w:val="1FFE3FD4"/>
    <w:rsid w:val="1FFF3378"/>
    <w:rsid w:val="20054643"/>
    <w:rsid w:val="201B7BC2"/>
    <w:rsid w:val="202A4C7D"/>
    <w:rsid w:val="202E47D6"/>
    <w:rsid w:val="203C6C45"/>
    <w:rsid w:val="20491632"/>
    <w:rsid w:val="20527E04"/>
    <w:rsid w:val="20535295"/>
    <w:rsid w:val="205729C5"/>
    <w:rsid w:val="205C03F4"/>
    <w:rsid w:val="2067008A"/>
    <w:rsid w:val="206C499D"/>
    <w:rsid w:val="206D21E8"/>
    <w:rsid w:val="20721597"/>
    <w:rsid w:val="207215AC"/>
    <w:rsid w:val="20790B8D"/>
    <w:rsid w:val="208E0306"/>
    <w:rsid w:val="20A025BE"/>
    <w:rsid w:val="20A976C4"/>
    <w:rsid w:val="20AD3775"/>
    <w:rsid w:val="20B020A7"/>
    <w:rsid w:val="20B120D5"/>
    <w:rsid w:val="20B80C73"/>
    <w:rsid w:val="20BA11DD"/>
    <w:rsid w:val="20CA13E8"/>
    <w:rsid w:val="20CB12D5"/>
    <w:rsid w:val="20EE157B"/>
    <w:rsid w:val="20F52909"/>
    <w:rsid w:val="20F74498"/>
    <w:rsid w:val="20FF63E2"/>
    <w:rsid w:val="210668C5"/>
    <w:rsid w:val="21094AE0"/>
    <w:rsid w:val="210E39CB"/>
    <w:rsid w:val="211B1C44"/>
    <w:rsid w:val="21254871"/>
    <w:rsid w:val="21263B5B"/>
    <w:rsid w:val="21470C8B"/>
    <w:rsid w:val="214C0E71"/>
    <w:rsid w:val="214D5A5C"/>
    <w:rsid w:val="21535882"/>
    <w:rsid w:val="21562C7C"/>
    <w:rsid w:val="215A276C"/>
    <w:rsid w:val="215D476D"/>
    <w:rsid w:val="215F4E8A"/>
    <w:rsid w:val="21620A6E"/>
    <w:rsid w:val="21626312"/>
    <w:rsid w:val="21723F5A"/>
    <w:rsid w:val="21764626"/>
    <w:rsid w:val="21886E30"/>
    <w:rsid w:val="218B501C"/>
    <w:rsid w:val="219739C1"/>
    <w:rsid w:val="219A525F"/>
    <w:rsid w:val="21A25EC1"/>
    <w:rsid w:val="21B04A82"/>
    <w:rsid w:val="21B53E47"/>
    <w:rsid w:val="21CB69A9"/>
    <w:rsid w:val="21DC7625"/>
    <w:rsid w:val="21E343DC"/>
    <w:rsid w:val="21ED538F"/>
    <w:rsid w:val="21F42BC1"/>
    <w:rsid w:val="21F91F85"/>
    <w:rsid w:val="21F93D33"/>
    <w:rsid w:val="220F2F23"/>
    <w:rsid w:val="220F47F9"/>
    <w:rsid w:val="22205764"/>
    <w:rsid w:val="2230218C"/>
    <w:rsid w:val="22356D36"/>
    <w:rsid w:val="224C0AEF"/>
    <w:rsid w:val="22596EC8"/>
    <w:rsid w:val="226732BD"/>
    <w:rsid w:val="2274785E"/>
    <w:rsid w:val="22853819"/>
    <w:rsid w:val="228D0920"/>
    <w:rsid w:val="228F7500"/>
    <w:rsid w:val="2297761B"/>
    <w:rsid w:val="22A87507"/>
    <w:rsid w:val="22BD1205"/>
    <w:rsid w:val="22C233F3"/>
    <w:rsid w:val="22C30A5B"/>
    <w:rsid w:val="22C81958"/>
    <w:rsid w:val="22D14CB0"/>
    <w:rsid w:val="22E542B8"/>
    <w:rsid w:val="22EA5CE4"/>
    <w:rsid w:val="22F42078"/>
    <w:rsid w:val="22F65234"/>
    <w:rsid w:val="230230BC"/>
    <w:rsid w:val="230C7A96"/>
    <w:rsid w:val="23166B67"/>
    <w:rsid w:val="23261B35"/>
    <w:rsid w:val="234B1E55"/>
    <w:rsid w:val="234D7060"/>
    <w:rsid w:val="23515944"/>
    <w:rsid w:val="23582CDC"/>
    <w:rsid w:val="23724388"/>
    <w:rsid w:val="2374033C"/>
    <w:rsid w:val="237408CA"/>
    <w:rsid w:val="23757C18"/>
    <w:rsid w:val="23775858"/>
    <w:rsid w:val="239D302C"/>
    <w:rsid w:val="239E1FF2"/>
    <w:rsid w:val="23AC7179"/>
    <w:rsid w:val="23AD74CB"/>
    <w:rsid w:val="23AE4FF1"/>
    <w:rsid w:val="23B80E5E"/>
    <w:rsid w:val="23C55B03"/>
    <w:rsid w:val="23CB6437"/>
    <w:rsid w:val="23D507D0"/>
    <w:rsid w:val="23D9206E"/>
    <w:rsid w:val="23F058F7"/>
    <w:rsid w:val="23F37571"/>
    <w:rsid w:val="240072E8"/>
    <w:rsid w:val="241412F8"/>
    <w:rsid w:val="242332EA"/>
    <w:rsid w:val="24255DD1"/>
    <w:rsid w:val="2443573A"/>
    <w:rsid w:val="24457704"/>
    <w:rsid w:val="24477413"/>
    <w:rsid w:val="2451287F"/>
    <w:rsid w:val="246F29D3"/>
    <w:rsid w:val="24720BE5"/>
    <w:rsid w:val="2483647E"/>
    <w:rsid w:val="24893795"/>
    <w:rsid w:val="248A15BB"/>
    <w:rsid w:val="24907EC5"/>
    <w:rsid w:val="249209C1"/>
    <w:rsid w:val="24942439"/>
    <w:rsid w:val="24A87C93"/>
    <w:rsid w:val="24B11346"/>
    <w:rsid w:val="24B8590D"/>
    <w:rsid w:val="24B905B9"/>
    <w:rsid w:val="24BB1774"/>
    <w:rsid w:val="24BD71A8"/>
    <w:rsid w:val="24D548E3"/>
    <w:rsid w:val="24D6035C"/>
    <w:rsid w:val="24D665AE"/>
    <w:rsid w:val="24EC0F48"/>
    <w:rsid w:val="24F125CC"/>
    <w:rsid w:val="24F42ED8"/>
    <w:rsid w:val="251B66B7"/>
    <w:rsid w:val="2536704D"/>
    <w:rsid w:val="253F7A13"/>
    <w:rsid w:val="254F010E"/>
    <w:rsid w:val="2561056D"/>
    <w:rsid w:val="257B2708"/>
    <w:rsid w:val="257E2025"/>
    <w:rsid w:val="257F6C45"/>
    <w:rsid w:val="258778A8"/>
    <w:rsid w:val="259A65EA"/>
    <w:rsid w:val="25A77F4A"/>
    <w:rsid w:val="25A862DF"/>
    <w:rsid w:val="25B13D7D"/>
    <w:rsid w:val="25B52667"/>
    <w:rsid w:val="25BB72CB"/>
    <w:rsid w:val="25C77B3F"/>
    <w:rsid w:val="25C94365"/>
    <w:rsid w:val="25CA43A7"/>
    <w:rsid w:val="25CE197B"/>
    <w:rsid w:val="25F203BA"/>
    <w:rsid w:val="25FA2770"/>
    <w:rsid w:val="25FE3495"/>
    <w:rsid w:val="26105AEF"/>
    <w:rsid w:val="26143E25"/>
    <w:rsid w:val="26162FF5"/>
    <w:rsid w:val="261D58CB"/>
    <w:rsid w:val="26265313"/>
    <w:rsid w:val="2636290B"/>
    <w:rsid w:val="26393298"/>
    <w:rsid w:val="263B7010"/>
    <w:rsid w:val="26431A21"/>
    <w:rsid w:val="264C410F"/>
    <w:rsid w:val="26667E05"/>
    <w:rsid w:val="26720558"/>
    <w:rsid w:val="26747E2C"/>
    <w:rsid w:val="26926505"/>
    <w:rsid w:val="26A17DE4"/>
    <w:rsid w:val="26C03072"/>
    <w:rsid w:val="26C17F9E"/>
    <w:rsid w:val="26EA27E4"/>
    <w:rsid w:val="26EF572B"/>
    <w:rsid w:val="26F40614"/>
    <w:rsid w:val="270C62B7"/>
    <w:rsid w:val="27167136"/>
    <w:rsid w:val="271E5FEA"/>
    <w:rsid w:val="273D46C2"/>
    <w:rsid w:val="2767173F"/>
    <w:rsid w:val="27747911"/>
    <w:rsid w:val="27801341"/>
    <w:rsid w:val="278E1F0E"/>
    <w:rsid w:val="279E53FC"/>
    <w:rsid w:val="27A26AA4"/>
    <w:rsid w:val="27AE3812"/>
    <w:rsid w:val="27BA026B"/>
    <w:rsid w:val="27BE1EE9"/>
    <w:rsid w:val="27CB7D59"/>
    <w:rsid w:val="27D8088F"/>
    <w:rsid w:val="27DD40F7"/>
    <w:rsid w:val="28001620"/>
    <w:rsid w:val="28054684"/>
    <w:rsid w:val="280A18FA"/>
    <w:rsid w:val="281652C2"/>
    <w:rsid w:val="28235CB1"/>
    <w:rsid w:val="28237D5C"/>
    <w:rsid w:val="283261F1"/>
    <w:rsid w:val="284657F9"/>
    <w:rsid w:val="28593962"/>
    <w:rsid w:val="28612632"/>
    <w:rsid w:val="28645844"/>
    <w:rsid w:val="28702875"/>
    <w:rsid w:val="287205E0"/>
    <w:rsid w:val="288051AE"/>
    <w:rsid w:val="288307FB"/>
    <w:rsid w:val="28840803"/>
    <w:rsid w:val="288E7690"/>
    <w:rsid w:val="2892356B"/>
    <w:rsid w:val="289522DC"/>
    <w:rsid w:val="28A013AD"/>
    <w:rsid w:val="28C61126"/>
    <w:rsid w:val="28CD6A08"/>
    <w:rsid w:val="28E16812"/>
    <w:rsid w:val="28E45F21"/>
    <w:rsid w:val="28F92766"/>
    <w:rsid w:val="2925213E"/>
    <w:rsid w:val="29283150"/>
    <w:rsid w:val="292F0982"/>
    <w:rsid w:val="295201CD"/>
    <w:rsid w:val="29575541"/>
    <w:rsid w:val="2958126A"/>
    <w:rsid w:val="29641857"/>
    <w:rsid w:val="296A19BB"/>
    <w:rsid w:val="29796F88"/>
    <w:rsid w:val="29883BEF"/>
    <w:rsid w:val="29973FC9"/>
    <w:rsid w:val="299B6018"/>
    <w:rsid w:val="299C1C19"/>
    <w:rsid w:val="29A0718A"/>
    <w:rsid w:val="29A273A6"/>
    <w:rsid w:val="29AB7F2B"/>
    <w:rsid w:val="29B23BBA"/>
    <w:rsid w:val="29B77403"/>
    <w:rsid w:val="29C21110"/>
    <w:rsid w:val="29D3130E"/>
    <w:rsid w:val="29D84B76"/>
    <w:rsid w:val="29DF4157"/>
    <w:rsid w:val="29F034B9"/>
    <w:rsid w:val="29F574D6"/>
    <w:rsid w:val="29FD7BB5"/>
    <w:rsid w:val="29FE7992"/>
    <w:rsid w:val="2A01191F"/>
    <w:rsid w:val="2A0E67EA"/>
    <w:rsid w:val="2A157B78"/>
    <w:rsid w:val="2A202079"/>
    <w:rsid w:val="2A204246"/>
    <w:rsid w:val="2A247DBB"/>
    <w:rsid w:val="2A252C00"/>
    <w:rsid w:val="2A263B34"/>
    <w:rsid w:val="2A351FC9"/>
    <w:rsid w:val="2A3C3357"/>
    <w:rsid w:val="2A3D2C2B"/>
    <w:rsid w:val="2A461C9A"/>
    <w:rsid w:val="2A5F7045"/>
    <w:rsid w:val="2A624DAB"/>
    <w:rsid w:val="2A703001"/>
    <w:rsid w:val="2A7F3C99"/>
    <w:rsid w:val="2A7F4FF2"/>
    <w:rsid w:val="2A826529"/>
    <w:rsid w:val="2A975BCA"/>
    <w:rsid w:val="2AC06748"/>
    <w:rsid w:val="2AC44732"/>
    <w:rsid w:val="2AC656AD"/>
    <w:rsid w:val="2ACF5F79"/>
    <w:rsid w:val="2AE51C90"/>
    <w:rsid w:val="2AE75C53"/>
    <w:rsid w:val="2AEA2DB3"/>
    <w:rsid w:val="2AEB08D9"/>
    <w:rsid w:val="2AEC23B9"/>
    <w:rsid w:val="2AF21C68"/>
    <w:rsid w:val="2AF4148F"/>
    <w:rsid w:val="2AF8282F"/>
    <w:rsid w:val="2AFF670F"/>
    <w:rsid w:val="2B154319"/>
    <w:rsid w:val="2B2A77D1"/>
    <w:rsid w:val="2B2D0EF2"/>
    <w:rsid w:val="2B2F6A18"/>
    <w:rsid w:val="2B320492"/>
    <w:rsid w:val="2B3C2EE3"/>
    <w:rsid w:val="2B485D2C"/>
    <w:rsid w:val="2B514BE0"/>
    <w:rsid w:val="2B870602"/>
    <w:rsid w:val="2B9351F9"/>
    <w:rsid w:val="2B960820"/>
    <w:rsid w:val="2BA94A1C"/>
    <w:rsid w:val="2BB93744"/>
    <w:rsid w:val="2BDA3543"/>
    <w:rsid w:val="2BE07C9D"/>
    <w:rsid w:val="2BE07D12"/>
    <w:rsid w:val="2BF12898"/>
    <w:rsid w:val="2BF51A0F"/>
    <w:rsid w:val="2BF72CE4"/>
    <w:rsid w:val="2BFE4851"/>
    <w:rsid w:val="2C0725E1"/>
    <w:rsid w:val="2C2A57F5"/>
    <w:rsid w:val="2C323E1B"/>
    <w:rsid w:val="2C351E0C"/>
    <w:rsid w:val="2C3657B6"/>
    <w:rsid w:val="2C4604BD"/>
    <w:rsid w:val="2C464019"/>
    <w:rsid w:val="2C4D265A"/>
    <w:rsid w:val="2C626979"/>
    <w:rsid w:val="2C6F0711"/>
    <w:rsid w:val="2C6F0EDD"/>
    <w:rsid w:val="2C7843EE"/>
    <w:rsid w:val="2C9C00DD"/>
    <w:rsid w:val="2CA156F3"/>
    <w:rsid w:val="2CAD35A4"/>
    <w:rsid w:val="2CB216AE"/>
    <w:rsid w:val="2CB2345D"/>
    <w:rsid w:val="2CBC077F"/>
    <w:rsid w:val="2CCD06C9"/>
    <w:rsid w:val="2CCF04B2"/>
    <w:rsid w:val="2CE675AA"/>
    <w:rsid w:val="2D0C5AED"/>
    <w:rsid w:val="2D0F461F"/>
    <w:rsid w:val="2D157E8F"/>
    <w:rsid w:val="2D2307FE"/>
    <w:rsid w:val="2D297497"/>
    <w:rsid w:val="2D2F71A3"/>
    <w:rsid w:val="2D3C366E"/>
    <w:rsid w:val="2D524F6C"/>
    <w:rsid w:val="2D6646E1"/>
    <w:rsid w:val="2D725915"/>
    <w:rsid w:val="2D832920"/>
    <w:rsid w:val="2D853D5B"/>
    <w:rsid w:val="2D8A43D9"/>
    <w:rsid w:val="2D8D3ECA"/>
    <w:rsid w:val="2D8F19F0"/>
    <w:rsid w:val="2D8F379E"/>
    <w:rsid w:val="2D984D48"/>
    <w:rsid w:val="2D9E1C33"/>
    <w:rsid w:val="2DA77037"/>
    <w:rsid w:val="2DB92998"/>
    <w:rsid w:val="2DBB27E5"/>
    <w:rsid w:val="2DCC119B"/>
    <w:rsid w:val="2DCD42C6"/>
    <w:rsid w:val="2DCE61A5"/>
    <w:rsid w:val="2DD90EBD"/>
    <w:rsid w:val="2DDA47E2"/>
    <w:rsid w:val="2DDB4B4A"/>
    <w:rsid w:val="2DDD6BFF"/>
    <w:rsid w:val="2DDE2919"/>
    <w:rsid w:val="2DEA131C"/>
    <w:rsid w:val="2DFE05F6"/>
    <w:rsid w:val="2E0423DE"/>
    <w:rsid w:val="2E052EE6"/>
    <w:rsid w:val="2E0E6DB8"/>
    <w:rsid w:val="2E232138"/>
    <w:rsid w:val="2E2670B3"/>
    <w:rsid w:val="2E2D0067"/>
    <w:rsid w:val="2E3031D3"/>
    <w:rsid w:val="2E3B49A1"/>
    <w:rsid w:val="2E48049B"/>
    <w:rsid w:val="2E4850A2"/>
    <w:rsid w:val="2E494294"/>
    <w:rsid w:val="2E496043"/>
    <w:rsid w:val="2E4C2321"/>
    <w:rsid w:val="2E536EC1"/>
    <w:rsid w:val="2E5D564A"/>
    <w:rsid w:val="2E680C36"/>
    <w:rsid w:val="2E7D5CEC"/>
    <w:rsid w:val="2E8E1CA7"/>
    <w:rsid w:val="2EA80FBB"/>
    <w:rsid w:val="2EC06357"/>
    <w:rsid w:val="2EC1207D"/>
    <w:rsid w:val="2EC53539"/>
    <w:rsid w:val="2ECA39AF"/>
    <w:rsid w:val="2ECC4915"/>
    <w:rsid w:val="2ECF113A"/>
    <w:rsid w:val="2ED00512"/>
    <w:rsid w:val="2EDF69A7"/>
    <w:rsid w:val="2EFA558F"/>
    <w:rsid w:val="2EFE507F"/>
    <w:rsid w:val="2F0223AB"/>
    <w:rsid w:val="2F430CE4"/>
    <w:rsid w:val="2F452CAE"/>
    <w:rsid w:val="2F5C7FF7"/>
    <w:rsid w:val="2F5E78CC"/>
    <w:rsid w:val="2F6957CC"/>
    <w:rsid w:val="2F754C15"/>
    <w:rsid w:val="2F840494"/>
    <w:rsid w:val="2F857792"/>
    <w:rsid w:val="2F8A6440"/>
    <w:rsid w:val="2F927575"/>
    <w:rsid w:val="2FB471B8"/>
    <w:rsid w:val="2FC242FE"/>
    <w:rsid w:val="2FCC6F2B"/>
    <w:rsid w:val="2FDC7881"/>
    <w:rsid w:val="2FDD4C94"/>
    <w:rsid w:val="2FDE3042"/>
    <w:rsid w:val="2FDE7E3B"/>
    <w:rsid w:val="2FEE7E64"/>
    <w:rsid w:val="2FF40230"/>
    <w:rsid w:val="2FFE4C0B"/>
    <w:rsid w:val="30161F54"/>
    <w:rsid w:val="30185CCC"/>
    <w:rsid w:val="301D1535"/>
    <w:rsid w:val="302B3D82"/>
    <w:rsid w:val="3049730B"/>
    <w:rsid w:val="304B1246"/>
    <w:rsid w:val="305568FC"/>
    <w:rsid w:val="30585DF6"/>
    <w:rsid w:val="305961EE"/>
    <w:rsid w:val="305D4027"/>
    <w:rsid w:val="30617519"/>
    <w:rsid w:val="30666833"/>
    <w:rsid w:val="30717AD3"/>
    <w:rsid w:val="30847806"/>
    <w:rsid w:val="308570DA"/>
    <w:rsid w:val="3094283E"/>
    <w:rsid w:val="309A6342"/>
    <w:rsid w:val="30AB66A8"/>
    <w:rsid w:val="30BA6D84"/>
    <w:rsid w:val="30DA39B5"/>
    <w:rsid w:val="30E11048"/>
    <w:rsid w:val="30E16A06"/>
    <w:rsid w:val="30E4644A"/>
    <w:rsid w:val="30F32296"/>
    <w:rsid w:val="30F671A3"/>
    <w:rsid w:val="30F71D86"/>
    <w:rsid w:val="30F90DB8"/>
    <w:rsid w:val="310C5404"/>
    <w:rsid w:val="311D18F2"/>
    <w:rsid w:val="311E5564"/>
    <w:rsid w:val="31285B60"/>
    <w:rsid w:val="313A7EC4"/>
    <w:rsid w:val="31413001"/>
    <w:rsid w:val="31532D34"/>
    <w:rsid w:val="31534C28"/>
    <w:rsid w:val="316D2048"/>
    <w:rsid w:val="317C7A6B"/>
    <w:rsid w:val="3196159F"/>
    <w:rsid w:val="319962F6"/>
    <w:rsid w:val="319B63CF"/>
    <w:rsid w:val="319F72C8"/>
    <w:rsid w:val="31A57ABC"/>
    <w:rsid w:val="31A735CA"/>
    <w:rsid w:val="31B45EC9"/>
    <w:rsid w:val="31C37EBA"/>
    <w:rsid w:val="31D67BED"/>
    <w:rsid w:val="31E813D0"/>
    <w:rsid w:val="31EA643A"/>
    <w:rsid w:val="31F44319"/>
    <w:rsid w:val="31FA0F44"/>
    <w:rsid w:val="31FA63E7"/>
    <w:rsid w:val="32052697"/>
    <w:rsid w:val="32075FF9"/>
    <w:rsid w:val="32144BB9"/>
    <w:rsid w:val="321C4A6C"/>
    <w:rsid w:val="321E410B"/>
    <w:rsid w:val="322039B3"/>
    <w:rsid w:val="32290665"/>
    <w:rsid w:val="32292413"/>
    <w:rsid w:val="323C2EFC"/>
    <w:rsid w:val="324A2916"/>
    <w:rsid w:val="32540146"/>
    <w:rsid w:val="3259184C"/>
    <w:rsid w:val="325C441C"/>
    <w:rsid w:val="326F3B9E"/>
    <w:rsid w:val="327B69E7"/>
    <w:rsid w:val="327F0285"/>
    <w:rsid w:val="327F64D7"/>
    <w:rsid w:val="3291620A"/>
    <w:rsid w:val="3293788C"/>
    <w:rsid w:val="32955444"/>
    <w:rsid w:val="32991A14"/>
    <w:rsid w:val="32AA336E"/>
    <w:rsid w:val="32AB5B23"/>
    <w:rsid w:val="32AF6333"/>
    <w:rsid w:val="32D06D32"/>
    <w:rsid w:val="32DB1C5F"/>
    <w:rsid w:val="32DD7134"/>
    <w:rsid w:val="32DE617E"/>
    <w:rsid w:val="32F347CF"/>
    <w:rsid w:val="32F56799"/>
    <w:rsid w:val="32F62030"/>
    <w:rsid w:val="32FA1ACE"/>
    <w:rsid w:val="32FE25CD"/>
    <w:rsid w:val="330E33B7"/>
    <w:rsid w:val="33114C55"/>
    <w:rsid w:val="3328091C"/>
    <w:rsid w:val="33353039"/>
    <w:rsid w:val="335E62F2"/>
    <w:rsid w:val="336851BD"/>
    <w:rsid w:val="337B4EF0"/>
    <w:rsid w:val="33811DDB"/>
    <w:rsid w:val="339320C6"/>
    <w:rsid w:val="33A1247D"/>
    <w:rsid w:val="33A67A93"/>
    <w:rsid w:val="33A855B9"/>
    <w:rsid w:val="33A9318D"/>
    <w:rsid w:val="33B977C6"/>
    <w:rsid w:val="33BE0B87"/>
    <w:rsid w:val="33C323F3"/>
    <w:rsid w:val="33C543BD"/>
    <w:rsid w:val="33CA19D4"/>
    <w:rsid w:val="33D978ED"/>
    <w:rsid w:val="33DC1707"/>
    <w:rsid w:val="33E323BD"/>
    <w:rsid w:val="33EA3373"/>
    <w:rsid w:val="33EA3E24"/>
    <w:rsid w:val="33EC40A9"/>
    <w:rsid w:val="33EC7B9C"/>
    <w:rsid w:val="33FE31F0"/>
    <w:rsid w:val="340516CD"/>
    <w:rsid w:val="340F73E6"/>
    <w:rsid w:val="341113B0"/>
    <w:rsid w:val="341B222F"/>
    <w:rsid w:val="341B6005"/>
    <w:rsid w:val="341D5FA7"/>
    <w:rsid w:val="342667DB"/>
    <w:rsid w:val="34270BD4"/>
    <w:rsid w:val="342A06C4"/>
    <w:rsid w:val="342B0087"/>
    <w:rsid w:val="342D2741"/>
    <w:rsid w:val="343926B5"/>
    <w:rsid w:val="344C4197"/>
    <w:rsid w:val="344D3968"/>
    <w:rsid w:val="345B6AD0"/>
    <w:rsid w:val="346044D6"/>
    <w:rsid w:val="346314E0"/>
    <w:rsid w:val="346634DB"/>
    <w:rsid w:val="3473029D"/>
    <w:rsid w:val="3474193F"/>
    <w:rsid w:val="347831DE"/>
    <w:rsid w:val="347B4B2C"/>
    <w:rsid w:val="34830137"/>
    <w:rsid w:val="3491604D"/>
    <w:rsid w:val="34AA710F"/>
    <w:rsid w:val="34C37AAD"/>
    <w:rsid w:val="34CD4E22"/>
    <w:rsid w:val="34D32B0A"/>
    <w:rsid w:val="34D36666"/>
    <w:rsid w:val="34D66156"/>
    <w:rsid w:val="34D92640"/>
    <w:rsid w:val="34E07C8A"/>
    <w:rsid w:val="34E70363"/>
    <w:rsid w:val="34E73EBF"/>
    <w:rsid w:val="34EB6561"/>
    <w:rsid w:val="34F72ADF"/>
    <w:rsid w:val="3522139B"/>
    <w:rsid w:val="3524568E"/>
    <w:rsid w:val="352F6614"/>
    <w:rsid w:val="353C420B"/>
    <w:rsid w:val="353F5480"/>
    <w:rsid w:val="35464E57"/>
    <w:rsid w:val="355D23D3"/>
    <w:rsid w:val="35681BF4"/>
    <w:rsid w:val="357339A5"/>
    <w:rsid w:val="35803E13"/>
    <w:rsid w:val="35845BB2"/>
    <w:rsid w:val="358B239B"/>
    <w:rsid w:val="359152E1"/>
    <w:rsid w:val="3592207D"/>
    <w:rsid w:val="35A3428A"/>
    <w:rsid w:val="35A54015"/>
    <w:rsid w:val="35E13F3F"/>
    <w:rsid w:val="35F65BD2"/>
    <w:rsid w:val="360C48A6"/>
    <w:rsid w:val="362D624A"/>
    <w:rsid w:val="363941FA"/>
    <w:rsid w:val="364F4412"/>
    <w:rsid w:val="36634BAA"/>
    <w:rsid w:val="36685852"/>
    <w:rsid w:val="367560AE"/>
    <w:rsid w:val="36826596"/>
    <w:rsid w:val="368340BC"/>
    <w:rsid w:val="3699743B"/>
    <w:rsid w:val="369E2CA4"/>
    <w:rsid w:val="36A302BA"/>
    <w:rsid w:val="36C9112D"/>
    <w:rsid w:val="36C97DF8"/>
    <w:rsid w:val="36D36DF1"/>
    <w:rsid w:val="36DA45EC"/>
    <w:rsid w:val="36DD41B5"/>
    <w:rsid w:val="36EA0E4B"/>
    <w:rsid w:val="36F17277"/>
    <w:rsid w:val="36F24A5F"/>
    <w:rsid w:val="3713725C"/>
    <w:rsid w:val="371C29D2"/>
    <w:rsid w:val="372C4753"/>
    <w:rsid w:val="37473116"/>
    <w:rsid w:val="375F2433"/>
    <w:rsid w:val="3772660A"/>
    <w:rsid w:val="377F4883"/>
    <w:rsid w:val="37827BA6"/>
    <w:rsid w:val="37A740D2"/>
    <w:rsid w:val="37AE3AA5"/>
    <w:rsid w:val="37B07132"/>
    <w:rsid w:val="37B64AD5"/>
    <w:rsid w:val="37BF775F"/>
    <w:rsid w:val="37E87F69"/>
    <w:rsid w:val="380B25BB"/>
    <w:rsid w:val="380F4FE6"/>
    <w:rsid w:val="38196A86"/>
    <w:rsid w:val="381A1CAB"/>
    <w:rsid w:val="381F33F8"/>
    <w:rsid w:val="3821593A"/>
    <w:rsid w:val="38291D9F"/>
    <w:rsid w:val="38342E0E"/>
    <w:rsid w:val="383D6B6F"/>
    <w:rsid w:val="3841186D"/>
    <w:rsid w:val="384C7516"/>
    <w:rsid w:val="3853698F"/>
    <w:rsid w:val="3857135C"/>
    <w:rsid w:val="385B0E4C"/>
    <w:rsid w:val="385C6972"/>
    <w:rsid w:val="38607848"/>
    <w:rsid w:val="38743CBC"/>
    <w:rsid w:val="387F4E48"/>
    <w:rsid w:val="3885236D"/>
    <w:rsid w:val="38922A9A"/>
    <w:rsid w:val="389D3895"/>
    <w:rsid w:val="389F4656"/>
    <w:rsid w:val="38A02D03"/>
    <w:rsid w:val="38A071A7"/>
    <w:rsid w:val="38AF1198"/>
    <w:rsid w:val="38B13162"/>
    <w:rsid w:val="38C71FDF"/>
    <w:rsid w:val="38CD161E"/>
    <w:rsid w:val="38D1110E"/>
    <w:rsid w:val="38D429AD"/>
    <w:rsid w:val="38DC28FA"/>
    <w:rsid w:val="38EC5F48"/>
    <w:rsid w:val="38FC1F69"/>
    <w:rsid w:val="39007E86"/>
    <w:rsid w:val="39094D4C"/>
    <w:rsid w:val="3914724D"/>
    <w:rsid w:val="391F0B5F"/>
    <w:rsid w:val="39202096"/>
    <w:rsid w:val="39237490"/>
    <w:rsid w:val="393D2C48"/>
    <w:rsid w:val="39445D84"/>
    <w:rsid w:val="3948754F"/>
    <w:rsid w:val="3949339B"/>
    <w:rsid w:val="394A2C6F"/>
    <w:rsid w:val="394C5990"/>
    <w:rsid w:val="395F7DB3"/>
    <w:rsid w:val="39644E8A"/>
    <w:rsid w:val="39943A03"/>
    <w:rsid w:val="39B02D48"/>
    <w:rsid w:val="39B303A0"/>
    <w:rsid w:val="39BE47D4"/>
    <w:rsid w:val="39D21271"/>
    <w:rsid w:val="39DB63A8"/>
    <w:rsid w:val="39DC5FBD"/>
    <w:rsid w:val="39F61F6E"/>
    <w:rsid w:val="39F94DC1"/>
    <w:rsid w:val="3A0245B7"/>
    <w:rsid w:val="3A10210A"/>
    <w:rsid w:val="3A1E65D5"/>
    <w:rsid w:val="3A3A5794"/>
    <w:rsid w:val="3A4678DA"/>
    <w:rsid w:val="3A4B4EF0"/>
    <w:rsid w:val="3A5622C2"/>
    <w:rsid w:val="3A5774FB"/>
    <w:rsid w:val="3A6B3AAC"/>
    <w:rsid w:val="3A6F5083"/>
    <w:rsid w:val="3A7A02A6"/>
    <w:rsid w:val="3A7A70F1"/>
    <w:rsid w:val="3A954453"/>
    <w:rsid w:val="3A993EAE"/>
    <w:rsid w:val="3A9B5E78"/>
    <w:rsid w:val="3AA50B87"/>
    <w:rsid w:val="3AB2269E"/>
    <w:rsid w:val="3AB9131C"/>
    <w:rsid w:val="3AC1654B"/>
    <w:rsid w:val="3AC23405"/>
    <w:rsid w:val="3AC32CD9"/>
    <w:rsid w:val="3ACA4067"/>
    <w:rsid w:val="3AD512C6"/>
    <w:rsid w:val="3ADF38CB"/>
    <w:rsid w:val="3AE0243E"/>
    <w:rsid w:val="3B1219D1"/>
    <w:rsid w:val="3B17706B"/>
    <w:rsid w:val="3B181AA8"/>
    <w:rsid w:val="3B2714BA"/>
    <w:rsid w:val="3B3A4BF1"/>
    <w:rsid w:val="3B3D2A8B"/>
    <w:rsid w:val="3B3F2CA7"/>
    <w:rsid w:val="3B8A4892"/>
    <w:rsid w:val="3B8A5AD7"/>
    <w:rsid w:val="3B981708"/>
    <w:rsid w:val="3BAF5AF0"/>
    <w:rsid w:val="3BB05953"/>
    <w:rsid w:val="3BB80364"/>
    <w:rsid w:val="3BC729A1"/>
    <w:rsid w:val="3BE473AB"/>
    <w:rsid w:val="3BF534C5"/>
    <w:rsid w:val="3BFD1854"/>
    <w:rsid w:val="3BFD221A"/>
    <w:rsid w:val="3BFE4802"/>
    <w:rsid w:val="3C073099"/>
    <w:rsid w:val="3C0C6A1A"/>
    <w:rsid w:val="3C1732DC"/>
    <w:rsid w:val="3C1A0A88"/>
    <w:rsid w:val="3C1F3894"/>
    <w:rsid w:val="3C2854E9"/>
    <w:rsid w:val="3C343766"/>
    <w:rsid w:val="3C5067EE"/>
    <w:rsid w:val="3C5C33E5"/>
    <w:rsid w:val="3C5D51AA"/>
    <w:rsid w:val="3C5D7623"/>
    <w:rsid w:val="3C74452F"/>
    <w:rsid w:val="3C7626F9"/>
    <w:rsid w:val="3C8F29F6"/>
    <w:rsid w:val="3C9C7C85"/>
    <w:rsid w:val="3CA22844"/>
    <w:rsid w:val="3CA97EC6"/>
    <w:rsid w:val="3CAF5C0A"/>
    <w:rsid w:val="3CB23005"/>
    <w:rsid w:val="3CBC20D5"/>
    <w:rsid w:val="3CE010E0"/>
    <w:rsid w:val="3CE62E07"/>
    <w:rsid w:val="3CE83B32"/>
    <w:rsid w:val="3D11626E"/>
    <w:rsid w:val="3D163518"/>
    <w:rsid w:val="3D25483F"/>
    <w:rsid w:val="3D4C31A4"/>
    <w:rsid w:val="3D51281E"/>
    <w:rsid w:val="3D546295"/>
    <w:rsid w:val="3D5A73D9"/>
    <w:rsid w:val="3D5B18EE"/>
    <w:rsid w:val="3D5F13DF"/>
    <w:rsid w:val="3D6C58AA"/>
    <w:rsid w:val="3D6D517E"/>
    <w:rsid w:val="3D74650C"/>
    <w:rsid w:val="3D7D5158"/>
    <w:rsid w:val="3D8F7DC5"/>
    <w:rsid w:val="3DA45F92"/>
    <w:rsid w:val="3DC066C3"/>
    <w:rsid w:val="3DCC55BE"/>
    <w:rsid w:val="3DDF6D98"/>
    <w:rsid w:val="3E0B6E71"/>
    <w:rsid w:val="3E10092B"/>
    <w:rsid w:val="3E1A5306"/>
    <w:rsid w:val="3E301089"/>
    <w:rsid w:val="3E386294"/>
    <w:rsid w:val="3E394DF5"/>
    <w:rsid w:val="3E401B76"/>
    <w:rsid w:val="3E522CF1"/>
    <w:rsid w:val="3E5B6455"/>
    <w:rsid w:val="3E6A14E0"/>
    <w:rsid w:val="3E7A2248"/>
    <w:rsid w:val="3E7F160D"/>
    <w:rsid w:val="3E7F3E91"/>
    <w:rsid w:val="3E9C6AC7"/>
    <w:rsid w:val="3EC7548D"/>
    <w:rsid w:val="3ECA14CD"/>
    <w:rsid w:val="3ECC2AA4"/>
    <w:rsid w:val="3EDF328B"/>
    <w:rsid w:val="3EE45785"/>
    <w:rsid w:val="3EF43DA9"/>
    <w:rsid w:val="3F025D19"/>
    <w:rsid w:val="3F0F15A0"/>
    <w:rsid w:val="3F175A58"/>
    <w:rsid w:val="3F1B5F0C"/>
    <w:rsid w:val="3F2A6562"/>
    <w:rsid w:val="3F2C53D7"/>
    <w:rsid w:val="3F2E2014"/>
    <w:rsid w:val="3F3C5455"/>
    <w:rsid w:val="3F3F0701"/>
    <w:rsid w:val="3F43263A"/>
    <w:rsid w:val="3F44347F"/>
    <w:rsid w:val="3F47600D"/>
    <w:rsid w:val="3F4A5777"/>
    <w:rsid w:val="3F5860E5"/>
    <w:rsid w:val="3F744EE9"/>
    <w:rsid w:val="3F890995"/>
    <w:rsid w:val="3F9410E8"/>
    <w:rsid w:val="3FA330D9"/>
    <w:rsid w:val="3FA94B93"/>
    <w:rsid w:val="3FB079AD"/>
    <w:rsid w:val="3FB10C6C"/>
    <w:rsid w:val="3FCF2120"/>
    <w:rsid w:val="3FD37E62"/>
    <w:rsid w:val="3FE77469"/>
    <w:rsid w:val="3FF1653A"/>
    <w:rsid w:val="3FFA0F4B"/>
    <w:rsid w:val="3FFD4C7F"/>
    <w:rsid w:val="3FFE50BE"/>
    <w:rsid w:val="4004001B"/>
    <w:rsid w:val="401044D8"/>
    <w:rsid w:val="4024421A"/>
    <w:rsid w:val="40322C2A"/>
    <w:rsid w:val="40322DDA"/>
    <w:rsid w:val="40331AD1"/>
    <w:rsid w:val="403C77B5"/>
    <w:rsid w:val="40413F9B"/>
    <w:rsid w:val="404C42EC"/>
    <w:rsid w:val="405014B2"/>
    <w:rsid w:val="405C558A"/>
    <w:rsid w:val="406B009A"/>
    <w:rsid w:val="40980F5A"/>
    <w:rsid w:val="409B285D"/>
    <w:rsid w:val="40A45DCB"/>
    <w:rsid w:val="40C31C84"/>
    <w:rsid w:val="40D07EFD"/>
    <w:rsid w:val="40F76D9B"/>
    <w:rsid w:val="40F808A6"/>
    <w:rsid w:val="41026000"/>
    <w:rsid w:val="410909FB"/>
    <w:rsid w:val="410F6C78"/>
    <w:rsid w:val="411D22EE"/>
    <w:rsid w:val="41210759"/>
    <w:rsid w:val="41232504"/>
    <w:rsid w:val="413B181B"/>
    <w:rsid w:val="414F2AD7"/>
    <w:rsid w:val="41606DE8"/>
    <w:rsid w:val="41656898"/>
    <w:rsid w:val="41751B51"/>
    <w:rsid w:val="41757046"/>
    <w:rsid w:val="41847BE4"/>
    <w:rsid w:val="419453CF"/>
    <w:rsid w:val="419D0727"/>
    <w:rsid w:val="41A170DA"/>
    <w:rsid w:val="41A33431"/>
    <w:rsid w:val="41A60113"/>
    <w:rsid w:val="41A76EB0"/>
    <w:rsid w:val="41B65345"/>
    <w:rsid w:val="41BD63D6"/>
    <w:rsid w:val="41C724C5"/>
    <w:rsid w:val="41C77552"/>
    <w:rsid w:val="41C81330"/>
    <w:rsid w:val="41CD50C5"/>
    <w:rsid w:val="41D47FAF"/>
    <w:rsid w:val="41D708E3"/>
    <w:rsid w:val="41EB51CB"/>
    <w:rsid w:val="41F8770C"/>
    <w:rsid w:val="41FA16D6"/>
    <w:rsid w:val="42070F19"/>
    <w:rsid w:val="424A495F"/>
    <w:rsid w:val="426D6C42"/>
    <w:rsid w:val="4278084D"/>
    <w:rsid w:val="427F607F"/>
    <w:rsid w:val="428A2184"/>
    <w:rsid w:val="42A31D6D"/>
    <w:rsid w:val="42AC7A3A"/>
    <w:rsid w:val="42B11788"/>
    <w:rsid w:val="42B87377"/>
    <w:rsid w:val="42C17868"/>
    <w:rsid w:val="42D119D4"/>
    <w:rsid w:val="42D27F5D"/>
    <w:rsid w:val="42E14802"/>
    <w:rsid w:val="4301462D"/>
    <w:rsid w:val="430640AA"/>
    <w:rsid w:val="430B346F"/>
    <w:rsid w:val="4312004C"/>
    <w:rsid w:val="43212240"/>
    <w:rsid w:val="433230F1"/>
    <w:rsid w:val="433A3D54"/>
    <w:rsid w:val="43426264"/>
    <w:rsid w:val="43433F2B"/>
    <w:rsid w:val="436808C1"/>
    <w:rsid w:val="436B6571"/>
    <w:rsid w:val="437652FC"/>
    <w:rsid w:val="43805C0B"/>
    <w:rsid w:val="438C2802"/>
    <w:rsid w:val="43AF5C05"/>
    <w:rsid w:val="43C152E3"/>
    <w:rsid w:val="43D9531B"/>
    <w:rsid w:val="43E16C1C"/>
    <w:rsid w:val="43E75C8A"/>
    <w:rsid w:val="441C4A00"/>
    <w:rsid w:val="44250560"/>
    <w:rsid w:val="4425082E"/>
    <w:rsid w:val="44380293"/>
    <w:rsid w:val="444335A1"/>
    <w:rsid w:val="44563119"/>
    <w:rsid w:val="44670B79"/>
    <w:rsid w:val="446B68BB"/>
    <w:rsid w:val="446F5D17"/>
    <w:rsid w:val="44727D5C"/>
    <w:rsid w:val="44782D86"/>
    <w:rsid w:val="447E4C9B"/>
    <w:rsid w:val="448259B3"/>
    <w:rsid w:val="44837C0F"/>
    <w:rsid w:val="44910013"/>
    <w:rsid w:val="44A818BD"/>
    <w:rsid w:val="44C77869"/>
    <w:rsid w:val="44DE20E4"/>
    <w:rsid w:val="44E977E0"/>
    <w:rsid w:val="44EC0A9D"/>
    <w:rsid w:val="44F35239"/>
    <w:rsid w:val="44FC50BA"/>
    <w:rsid w:val="451023FC"/>
    <w:rsid w:val="452627E2"/>
    <w:rsid w:val="45297DC0"/>
    <w:rsid w:val="452D1DC2"/>
    <w:rsid w:val="4532120B"/>
    <w:rsid w:val="4545710C"/>
    <w:rsid w:val="455B4326"/>
    <w:rsid w:val="45605CF4"/>
    <w:rsid w:val="45612B75"/>
    <w:rsid w:val="456652D4"/>
    <w:rsid w:val="45813EBC"/>
    <w:rsid w:val="45821975"/>
    <w:rsid w:val="458505A5"/>
    <w:rsid w:val="458A3A0C"/>
    <w:rsid w:val="459C0CF6"/>
    <w:rsid w:val="459C1406"/>
    <w:rsid w:val="45A55DFD"/>
    <w:rsid w:val="45AF7005"/>
    <w:rsid w:val="45B44292"/>
    <w:rsid w:val="45B55914"/>
    <w:rsid w:val="45BC23D1"/>
    <w:rsid w:val="45BD5181"/>
    <w:rsid w:val="45C06792"/>
    <w:rsid w:val="45C67E5B"/>
    <w:rsid w:val="45CC15DB"/>
    <w:rsid w:val="45DC10F2"/>
    <w:rsid w:val="45E5444B"/>
    <w:rsid w:val="45F621B4"/>
    <w:rsid w:val="45FB5A1D"/>
    <w:rsid w:val="46072613"/>
    <w:rsid w:val="460D7F65"/>
    <w:rsid w:val="460F14C8"/>
    <w:rsid w:val="46306FAC"/>
    <w:rsid w:val="46601D24"/>
    <w:rsid w:val="46627EDC"/>
    <w:rsid w:val="466C2476"/>
    <w:rsid w:val="46717A8D"/>
    <w:rsid w:val="4678706D"/>
    <w:rsid w:val="46792F9C"/>
    <w:rsid w:val="468477C0"/>
    <w:rsid w:val="4689127A"/>
    <w:rsid w:val="46911EDD"/>
    <w:rsid w:val="469667F9"/>
    <w:rsid w:val="46966F93"/>
    <w:rsid w:val="469F5184"/>
    <w:rsid w:val="46A04C95"/>
    <w:rsid w:val="46A32C5C"/>
    <w:rsid w:val="46AB6885"/>
    <w:rsid w:val="46AE6F33"/>
    <w:rsid w:val="46B43C28"/>
    <w:rsid w:val="46BA4C51"/>
    <w:rsid w:val="46BB51AC"/>
    <w:rsid w:val="46C424F5"/>
    <w:rsid w:val="46D30747"/>
    <w:rsid w:val="46DF533E"/>
    <w:rsid w:val="46F661E4"/>
    <w:rsid w:val="47076D29"/>
    <w:rsid w:val="470923BB"/>
    <w:rsid w:val="471F5755"/>
    <w:rsid w:val="472745EF"/>
    <w:rsid w:val="473D3E13"/>
    <w:rsid w:val="47681002"/>
    <w:rsid w:val="477737C9"/>
    <w:rsid w:val="477E6905"/>
    <w:rsid w:val="478163EE"/>
    <w:rsid w:val="478A52AA"/>
    <w:rsid w:val="478F2AC1"/>
    <w:rsid w:val="478F50F9"/>
    <w:rsid w:val="47932D52"/>
    <w:rsid w:val="47A520E4"/>
    <w:rsid w:val="47A65E5C"/>
    <w:rsid w:val="47A72AF3"/>
    <w:rsid w:val="47A834ED"/>
    <w:rsid w:val="47AD69B3"/>
    <w:rsid w:val="47B55E33"/>
    <w:rsid w:val="47B679CB"/>
    <w:rsid w:val="47C36A0E"/>
    <w:rsid w:val="47DB5B06"/>
    <w:rsid w:val="47E10C42"/>
    <w:rsid w:val="480768FB"/>
    <w:rsid w:val="48325752"/>
    <w:rsid w:val="48376AB4"/>
    <w:rsid w:val="484A0EFF"/>
    <w:rsid w:val="484F3DFE"/>
    <w:rsid w:val="48600E1F"/>
    <w:rsid w:val="486024AF"/>
    <w:rsid w:val="486C081C"/>
    <w:rsid w:val="486E697A"/>
    <w:rsid w:val="48737288"/>
    <w:rsid w:val="48791239"/>
    <w:rsid w:val="488066AD"/>
    <w:rsid w:val="48893141"/>
    <w:rsid w:val="488F68F0"/>
    <w:rsid w:val="48A859DC"/>
    <w:rsid w:val="48AD0EC0"/>
    <w:rsid w:val="48B30830"/>
    <w:rsid w:val="48BF5E9C"/>
    <w:rsid w:val="48BF71D5"/>
    <w:rsid w:val="48C20A74"/>
    <w:rsid w:val="48CD4952"/>
    <w:rsid w:val="48D873DA"/>
    <w:rsid w:val="48E6263C"/>
    <w:rsid w:val="48EF5D3C"/>
    <w:rsid w:val="48F73C13"/>
    <w:rsid w:val="48F91741"/>
    <w:rsid w:val="48FB417C"/>
    <w:rsid w:val="490B1629"/>
    <w:rsid w:val="49153299"/>
    <w:rsid w:val="49290AF3"/>
    <w:rsid w:val="49301E81"/>
    <w:rsid w:val="493C0826"/>
    <w:rsid w:val="493C56DB"/>
    <w:rsid w:val="49411CFD"/>
    <w:rsid w:val="4941408E"/>
    <w:rsid w:val="49420E43"/>
    <w:rsid w:val="49463639"/>
    <w:rsid w:val="49520049"/>
    <w:rsid w:val="495913D8"/>
    <w:rsid w:val="495C67D2"/>
    <w:rsid w:val="49647484"/>
    <w:rsid w:val="49706721"/>
    <w:rsid w:val="497B7864"/>
    <w:rsid w:val="49880361"/>
    <w:rsid w:val="498D1B3D"/>
    <w:rsid w:val="49951CE4"/>
    <w:rsid w:val="49A91C62"/>
    <w:rsid w:val="49B617FE"/>
    <w:rsid w:val="49BB5BEF"/>
    <w:rsid w:val="49C24C5D"/>
    <w:rsid w:val="49D15412"/>
    <w:rsid w:val="49D9498F"/>
    <w:rsid w:val="49EA64D4"/>
    <w:rsid w:val="49EB4592"/>
    <w:rsid w:val="49FC1D63"/>
    <w:rsid w:val="4A007AA5"/>
    <w:rsid w:val="4A0761FF"/>
    <w:rsid w:val="4A0B3024"/>
    <w:rsid w:val="4A1C2EC0"/>
    <w:rsid w:val="4A313BB2"/>
    <w:rsid w:val="4A421E6C"/>
    <w:rsid w:val="4A45370A"/>
    <w:rsid w:val="4A494271"/>
    <w:rsid w:val="4A52592B"/>
    <w:rsid w:val="4A525E27"/>
    <w:rsid w:val="4A5E47CC"/>
    <w:rsid w:val="4A6C7E73"/>
    <w:rsid w:val="4A742241"/>
    <w:rsid w:val="4A7B35D0"/>
    <w:rsid w:val="4A871A4A"/>
    <w:rsid w:val="4A8A55C1"/>
    <w:rsid w:val="4A8E50D8"/>
    <w:rsid w:val="4A8F4985"/>
    <w:rsid w:val="4A9D5DE7"/>
    <w:rsid w:val="4AA76173"/>
    <w:rsid w:val="4AA77F21"/>
    <w:rsid w:val="4AA91EEB"/>
    <w:rsid w:val="4AB32D6A"/>
    <w:rsid w:val="4ACF0B51"/>
    <w:rsid w:val="4AD247A3"/>
    <w:rsid w:val="4AD351BA"/>
    <w:rsid w:val="4AD74D96"/>
    <w:rsid w:val="4AE50A49"/>
    <w:rsid w:val="4AF26936"/>
    <w:rsid w:val="4AF64A04"/>
    <w:rsid w:val="4AFA3514"/>
    <w:rsid w:val="4B0578AD"/>
    <w:rsid w:val="4B0E7FA0"/>
    <w:rsid w:val="4B1728BA"/>
    <w:rsid w:val="4B196FAC"/>
    <w:rsid w:val="4B1D4687"/>
    <w:rsid w:val="4B2C7A5A"/>
    <w:rsid w:val="4B3612A5"/>
    <w:rsid w:val="4B413ED2"/>
    <w:rsid w:val="4B4154BA"/>
    <w:rsid w:val="4B49547C"/>
    <w:rsid w:val="4B4E2A92"/>
    <w:rsid w:val="4B532637"/>
    <w:rsid w:val="4B6202EC"/>
    <w:rsid w:val="4B677993"/>
    <w:rsid w:val="4B7122DD"/>
    <w:rsid w:val="4B751DCD"/>
    <w:rsid w:val="4B814C16"/>
    <w:rsid w:val="4B83243B"/>
    <w:rsid w:val="4B8A4D97"/>
    <w:rsid w:val="4B9506C1"/>
    <w:rsid w:val="4BA6642B"/>
    <w:rsid w:val="4BBB7306"/>
    <w:rsid w:val="4BBD5522"/>
    <w:rsid w:val="4BCC6435"/>
    <w:rsid w:val="4BDB3974"/>
    <w:rsid w:val="4BDC3BFA"/>
    <w:rsid w:val="4BDF5D97"/>
    <w:rsid w:val="4BE200B2"/>
    <w:rsid w:val="4BE96317"/>
    <w:rsid w:val="4BEB5150"/>
    <w:rsid w:val="4BEF6864"/>
    <w:rsid w:val="4BF929FE"/>
    <w:rsid w:val="4BFC429C"/>
    <w:rsid w:val="4C0A0767"/>
    <w:rsid w:val="4C12586E"/>
    <w:rsid w:val="4C1E442E"/>
    <w:rsid w:val="4C212F83"/>
    <w:rsid w:val="4C3E2AF8"/>
    <w:rsid w:val="4C3E3632"/>
    <w:rsid w:val="4C527DBA"/>
    <w:rsid w:val="4C5F07E2"/>
    <w:rsid w:val="4C6065D9"/>
    <w:rsid w:val="4C6A4C70"/>
    <w:rsid w:val="4C7D3291"/>
    <w:rsid w:val="4C9B5EBF"/>
    <w:rsid w:val="4CAF3234"/>
    <w:rsid w:val="4CAF4949"/>
    <w:rsid w:val="4CB12664"/>
    <w:rsid w:val="4CB220BE"/>
    <w:rsid w:val="4CB335F4"/>
    <w:rsid w:val="4CB53B3B"/>
    <w:rsid w:val="4CC91FAF"/>
    <w:rsid w:val="4CE24CF5"/>
    <w:rsid w:val="4CE40BE6"/>
    <w:rsid w:val="4CEE1C78"/>
    <w:rsid w:val="4CF60CEC"/>
    <w:rsid w:val="4CFE5C17"/>
    <w:rsid w:val="4D025585"/>
    <w:rsid w:val="4D027691"/>
    <w:rsid w:val="4D0553D3"/>
    <w:rsid w:val="4D071B6D"/>
    <w:rsid w:val="4D13189E"/>
    <w:rsid w:val="4D18191E"/>
    <w:rsid w:val="4D185106"/>
    <w:rsid w:val="4D371A30"/>
    <w:rsid w:val="4D415416"/>
    <w:rsid w:val="4D491763"/>
    <w:rsid w:val="4D4A6024"/>
    <w:rsid w:val="4D522B59"/>
    <w:rsid w:val="4D5327CE"/>
    <w:rsid w:val="4D782049"/>
    <w:rsid w:val="4D7A36CB"/>
    <w:rsid w:val="4D7A3AA9"/>
    <w:rsid w:val="4D7D31BB"/>
    <w:rsid w:val="4D7F0CE1"/>
    <w:rsid w:val="4D840AE7"/>
    <w:rsid w:val="4D84574A"/>
    <w:rsid w:val="4D875DE8"/>
    <w:rsid w:val="4D9C7AE5"/>
    <w:rsid w:val="4DBA7F6B"/>
    <w:rsid w:val="4DBC0187"/>
    <w:rsid w:val="4DBE1F23"/>
    <w:rsid w:val="4DC87875"/>
    <w:rsid w:val="4DD706DB"/>
    <w:rsid w:val="4DEF230B"/>
    <w:rsid w:val="4DF72F6D"/>
    <w:rsid w:val="4DFE755A"/>
    <w:rsid w:val="4E035DB6"/>
    <w:rsid w:val="4E037940"/>
    <w:rsid w:val="4E047438"/>
    <w:rsid w:val="4E0522C3"/>
    <w:rsid w:val="4E061402"/>
    <w:rsid w:val="4E121796"/>
    <w:rsid w:val="4E1753BE"/>
    <w:rsid w:val="4E1A4EAE"/>
    <w:rsid w:val="4E1B2E11"/>
    <w:rsid w:val="4E1C6E78"/>
    <w:rsid w:val="4E314E82"/>
    <w:rsid w:val="4E355CC7"/>
    <w:rsid w:val="4E3715BC"/>
    <w:rsid w:val="4E4F6AEA"/>
    <w:rsid w:val="4E6A373F"/>
    <w:rsid w:val="4E6C677C"/>
    <w:rsid w:val="4E6F0D56"/>
    <w:rsid w:val="4E7740AE"/>
    <w:rsid w:val="4E7D7565"/>
    <w:rsid w:val="4E832A53"/>
    <w:rsid w:val="4E8D1811"/>
    <w:rsid w:val="4E916F1E"/>
    <w:rsid w:val="4E976C62"/>
    <w:rsid w:val="4E9B1B4B"/>
    <w:rsid w:val="4EA56E6D"/>
    <w:rsid w:val="4EA84268"/>
    <w:rsid w:val="4EAB3DF3"/>
    <w:rsid w:val="4EB86BA1"/>
    <w:rsid w:val="4EDE78CC"/>
    <w:rsid w:val="4EEC684A"/>
    <w:rsid w:val="4EF17B3E"/>
    <w:rsid w:val="4F0040A4"/>
    <w:rsid w:val="4F0C47F7"/>
    <w:rsid w:val="4F2A7373"/>
    <w:rsid w:val="4F2E7890"/>
    <w:rsid w:val="4F3976BC"/>
    <w:rsid w:val="4F3F6648"/>
    <w:rsid w:val="4F4246BC"/>
    <w:rsid w:val="4F425DDD"/>
    <w:rsid w:val="4F45049F"/>
    <w:rsid w:val="4F4917BA"/>
    <w:rsid w:val="4F54452F"/>
    <w:rsid w:val="4F680C31"/>
    <w:rsid w:val="4F73741B"/>
    <w:rsid w:val="4F7D74A2"/>
    <w:rsid w:val="4FA90297"/>
    <w:rsid w:val="4FB9254E"/>
    <w:rsid w:val="4FC450D1"/>
    <w:rsid w:val="4FC75412"/>
    <w:rsid w:val="4FC77616"/>
    <w:rsid w:val="4FCC6EAF"/>
    <w:rsid w:val="4FCD667C"/>
    <w:rsid w:val="4FD23C92"/>
    <w:rsid w:val="4FD95020"/>
    <w:rsid w:val="4FDC68BF"/>
    <w:rsid w:val="4FE17A31"/>
    <w:rsid w:val="4FED6DF9"/>
    <w:rsid w:val="4FF63BB4"/>
    <w:rsid w:val="4FFC0795"/>
    <w:rsid w:val="50110AFB"/>
    <w:rsid w:val="502F6AAF"/>
    <w:rsid w:val="50414974"/>
    <w:rsid w:val="50536B47"/>
    <w:rsid w:val="50610B72"/>
    <w:rsid w:val="50707007"/>
    <w:rsid w:val="50847DC7"/>
    <w:rsid w:val="509B0528"/>
    <w:rsid w:val="50BC224C"/>
    <w:rsid w:val="50D36E1A"/>
    <w:rsid w:val="50DB26D2"/>
    <w:rsid w:val="50E71AE5"/>
    <w:rsid w:val="50EA261E"/>
    <w:rsid w:val="5108044E"/>
    <w:rsid w:val="510C31D4"/>
    <w:rsid w:val="511E6A63"/>
    <w:rsid w:val="5124051D"/>
    <w:rsid w:val="51354AB9"/>
    <w:rsid w:val="5144296E"/>
    <w:rsid w:val="514F6A03"/>
    <w:rsid w:val="51595CED"/>
    <w:rsid w:val="517069D7"/>
    <w:rsid w:val="517652F0"/>
    <w:rsid w:val="517B5C63"/>
    <w:rsid w:val="517D5E7F"/>
    <w:rsid w:val="51840FBC"/>
    <w:rsid w:val="518E5B19"/>
    <w:rsid w:val="51970E73"/>
    <w:rsid w:val="519C4558"/>
    <w:rsid w:val="519D3E2C"/>
    <w:rsid w:val="519F6632"/>
    <w:rsid w:val="51A74CAA"/>
    <w:rsid w:val="51B11685"/>
    <w:rsid w:val="51BF1456"/>
    <w:rsid w:val="51C4760A"/>
    <w:rsid w:val="51D478DF"/>
    <w:rsid w:val="51D830B6"/>
    <w:rsid w:val="51F021AD"/>
    <w:rsid w:val="51F96C3B"/>
    <w:rsid w:val="52000723"/>
    <w:rsid w:val="52081BED"/>
    <w:rsid w:val="520B5239"/>
    <w:rsid w:val="52187956"/>
    <w:rsid w:val="52195BA8"/>
    <w:rsid w:val="521C0775"/>
    <w:rsid w:val="521E4F39"/>
    <w:rsid w:val="524E5126"/>
    <w:rsid w:val="525647CE"/>
    <w:rsid w:val="527B4984"/>
    <w:rsid w:val="528261F1"/>
    <w:rsid w:val="52943481"/>
    <w:rsid w:val="52A5743C"/>
    <w:rsid w:val="52AF2850"/>
    <w:rsid w:val="52AF2E63"/>
    <w:rsid w:val="52B21C66"/>
    <w:rsid w:val="52D65847"/>
    <w:rsid w:val="52E341B1"/>
    <w:rsid w:val="5302488E"/>
    <w:rsid w:val="53051E7D"/>
    <w:rsid w:val="531A5978"/>
    <w:rsid w:val="53280B3B"/>
    <w:rsid w:val="53281E1B"/>
    <w:rsid w:val="532C3D4E"/>
    <w:rsid w:val="532E5683"/>
    <w:rsid w:val="53410F7E"/>
    <w:rsid w:val="53530C46"/>
    <w:rsid w:val="53722FC9"/>
    <w:rsid w:val="53767F45"/>
    <w:rsid w:val="537961D3"/>
    <w:rsid w:val="537C15C3"/>
    <w:rsid w:val="53811BC0"/>
    <w:rsid w:val="53827989"/>
    <w:rsid w:val="5384752F"/>
    <w:rsid w:val="53937294"/>
    <w:rsid w:val="539B4BE0"/>
    <w:rsid w:val="539E4672"/>
    <w:rsid w:val="53C2401E"/>
    <w:rsid w:val="53D55AFF"/>
    <w:rsid w:val="53F30D5E"/>
    <w:rsid w:val="540077F5"/>
    <w:rsid w:val="540A6DA5"/>
    <w:rsid w:val="54106B37"/>
    <w:rsid w:val="54134879"/>
    <w:rsid w:val="54244526"/>
    <w:rsid w:val="542720D3"/>
    <w:rsid w:val="543C5B7E"/>
    <w:rsid w:val="543F741C"/>
    <w:rsid w:val="544467E1"/>
    <w:rsid w:val="5466257C"/>
    <w:rsid w:val="54662BFB"/>
    <w:rsid w:val="54752A31"/>
    <w:rsid w:val="547A7151"/>
    <w:rsid w:val="547E7F44"/>
    <w:rsid w:val="548A4B3B"/>
    <w:rsid w:val="5498294F"/>
    <w:rsid w:val="549F610D"/>
    <w:rsid w:val="54A379AB"/>
    <w:rsid w:val="54A40068"/>
    <w:rsid w:val="54AA3506"/>
    <w:rsid w:val="54B0031A"/>
    <w:rsid w:val="54B8593E"/>
    <w:rsid w:val="54BF40B9"/>
    <w:rsid w:val="54C87412"/>
    <w:rsid w:val="54D67D81"/>
    <w:rsid w:val="54EB4EAE"/>
    <w:rsid w:val="54F77CF7"/>
    <w:rsid w:val="54FC355F"/>
    <w:rsid w:val="550F3292"/>
    <w:rsid w:val="55142657"/>
    <w:rsid w:val="55217BFA"/>
    <w:rsid w:val="55450D4D"/>
    <w:rsid w:val="555534F8"/>
    <w:rsid w:val="555A00F0"/>
    <w:rsid w:val="55630EE8"/>
    <w:rsid w:val="55652EB2"/>
    <w:rsid w:val="556829A3"/>
    <w:rsid w:val="55821CB6"/>
    <w:rsid w:val="558E2409"/>
    <w:rsid w:val="55957764"/>
    <w:rsid w:val="55985036"/>
    <w:rsid w:val="5598523A"/>
    <w:rsid w:val="55A41C2D"/>
    <w:rsid w:val="55B33C1E"/>
    <w:rsid w:val="55C336FF"/>
    <w:rsid w:val="55CC2F32"/>
    <w:rsid w:val="55D43B94"/>
    <w:rsid w:val="55DD513F"/>
    <w:rsid w:val="55EE11AC"/>
    <w:rsid w:val="55FA184D"/>
    <w:rsid w:val="5604566B"/>
    <w:rsid w:val="560B28A1"/>
    <w:rsid w:val="561856BF"/>
    <w:rsid w:val="56220DA3"/>
    <w:rsid w:val="563A433F"/>
    <w:rsid w:val="56486A5C"/>
    <w:rsid w:val="56521689"/>
    <w:rsid w:val="56530F5D"/>
    <w:rsid w:val="56551179"/>
    <w:rsid w:val="5677049F"/>
    <w:rsid w:val="56895348"/>
    <w:rsid w:val="568C3E99"/>
    <w:rsid w:val="569E48CE"/>
    <w:rsid w:val="56A143BE"/>
    <w:rsid w:val="56AE4EB5"/>
    <w:rsid w:val="56AF6ADB"/>
    <w:rsid w:val="56D60F8B"/>
    <w:rsid w:val="56D9439F"/>
    <w:rsid w:val="56DA5827"/>
    <w:rsid w:val="56E30533"/>
    <w:rsid w:val="56F91B04"/>
    <w:rsid w:val="56FA705E"/>
    <w:rsid w:val="570010E5"/>
    <w:rsid w:val="57097973"/>
    <w:rsid w:val="571221B6"/>
    <w:rsid w:val="571702AF"/>
    <w:rsid w:val="571B7CCD"/>
    <w:rsid w:val="57327710"/>
    <w:rsid w:val="57391D34"/>
    <w:rsid w:val="573B4004"/>
    <w:rsid w:val="574B68E6"/>
    <w:rsid w:val="574C1D94"/>
    <w:rsid w:val="575B0744"/>
    <w:rsid w:val="575E5102"/>
    <w:rsid w:val="57633422"/>
    <w:rsid w:val="57650F48"/>
    <w:rsid w:val="57672F12"/>
    <w:rsid w:val="576D604E"/>
    <w:rsid w:val="57767099"/>
    <w:rsid w:val="57827D4C"/>
    <w:rsid w:val="578A1ED7"/>
    <w:rsid w:val="5794182D"/>
    <w:rsid w:val="5798756F"/>
    <w:rsid w:val="57993E68"/>
    <w:rsid w:val="57A04676"/>
    <w:rsid w:val="57A67CD8"/>
    <w:rsid w:val="57AC4DC9"/>
    <w:rsid w:val="57B65C47"/>
    <w:rsid w:val="57C574C6"/>
    <w:rsid w:val="57CF6D09"/>
    <w:rsid w:val="57D50E26"/>
    <w:rsid w:val="57E722A5"/>
    <w:rsid w:val="57E97DCB"/>
    <w:rsid w:val="58092458"/>
    <w:rsid w:val="58177FD0"/>
    <w:rsid w:val="582A4FD5"/>
    <w:rsid w:val="58335574"/>
    <w:rsid w:val="58421289"/>
    <w:rsid w:val="58593060"/>
    <w:rsid w:val="588C1300"/>
    <w:rsid w:val="588E2720"/>
    <w:rsid w:val="589F433E"/>
    <w:rsid w:val="58AD0DF8"/>
    <w:rsid w:val="58AD704A"/>
    <w:rsid w:val="58B913A9"/>
    <w:rsid w:val="58C2777A"/>
    <w:rsid w:val="58CB74D0"/>
    <w:rsid w:val="58CD3ED2"/>
    <w:rsid w:val="58D26AB1"/>
    <w:rsid w:val="58DB4550"/>
    <w:rsid w:val="58F1757A"/>
    <w:rsid w:val="58F76517"/>
    <w:rsid w:val="58FC1BC0"/>
    <w:rsid w:val="58FD3402"/>
    <w:rsid w:val="5900361E"/>
    <w:rsid w:val="590D7AE9"/>
    <w:rsid w:val="591801D8"/>
    <w:rsid w:val="591848B7"/>
    <w:rsid w:val="591E5852"/>
    <w:rsid w:val="59343A85"/>
    <w:rsid w:val="59405D3E"/>
    <w:rsid w:val="594D25DB"/>
    <w:rsid w:val="595474C6"/>
    <w:rsid w:val="5958707F"/>
    <w:rsid w:val="597D7BE8"/>
    <w:rsid w:val="59927FEE"/>
    <w:rsid w:val="59B12B9A"/>
    <w:rsid w:val="59B75271"/>
    <w:rsid w:val="59BD32BD"/>
    <w:rsid w:val="59CA6505"/>
    <w:rsid w:val="59D625D1"/>
    <w:rsid w:val="59D7375C"/>
    <w:rsid w:val="59DB3743"/>
    <w:rsid w:val="59FD4B5C"/>
    <w:rsid w:val="5A07095A"/>
    <w:rsid w:val="5A1C7F24"/>
    <w:rsid w:val="5A24655C"/>
    <w:rsid w:val="5A24763D"/>
    <w:rsid w:val="5A32437D"/>
    <w:rsid w:val="5A4A60E9"/>
    <w:rsid w:val="5A4F5EDF"/>
    <w:rsid w:val="5A56101C"/>
    <w:rsid w:val="5A5925F5"/>
    <w:rsid w:val="5A5A2FCC"/>
    <w:rsid w:val="5A5B4884"/>
    <w:rsid w:val="5A626A8D"/>
    <w:rsid w:val="5A703F65"/>
    <w:rsid w:val="5A81078E"/>
    <w:rsid w:val="5A821E11"/>
    <w:rsid w:val="5A9009D2"/>
    <w:rsid w:val="5A927142"/>
    <w:rsid w:val="5A95795B"/>
    <w:rsid w:val="5A9D30EE"/>
    <w:rsid w:val="5AB521E6"/>
    <w:rsid w:val="5ABC3575"/>
    <w:rsid w:val="5ADF1011"/>
    <w:rsid w:val="5ADF3CFD"/>
    <w:rsid w:val="5AE6687E"/>
    <w:rsid w:val="5AEA284D"/>
    <w:rsid w:val="5AEB07F8"/>
    <w:rsid w:val="5AF30F60"/>
    <w:rsid w:val="5B0171D9"/>
    <w:rsid w:val="5B0E5560"/>
    <w:rsid w:val="5B12588A"/>
    <w:rsid w:val="5B13515F"/>
    <w:rsid w:val="5B155FF5"/>
    <w:rsid w:val="5B172EA1"/>
    <w:rsid w:val="5B284D5C"/>
    <w:rsid w:val="5B2E578D"/>
    <w:rsid w:val="5B5C08B4"/>
    <w:rsid w:val="5B5C4D58"/>
    <w:rsid w:val="5B5F7073"/>
    <w:rsid w:val="5B664392"/>
    <w:rsid w:val="5B6D029D"/>
    <w:rsid w:val="5B765E19"/>
    <w:rsid w:val="5B7C71A8"/>
    <w:rsid w:val="5B885B4D"/>
    <w:rsid w:val="5B8D3163"/>
    <w:rsid w:val="5B962018"/>
    <w:rsid w:val="5B977B3E"/>
    <w:rsid w:val="5BA23571"/>
    <w:rsid w:val="5BAB2FDC"/>
    <w:rsid w:val="5BAD110F"/>
    <w:rsid w:val="5BBB382C"/>
    <w:rsid w:val="5BBD75FE"/>
    <w:rsid w:val="5BBE71ED"/>
    <w:rsid w:val="5BD33C24"/>
    <w:rsid w:val="5BE0565B"/>
    <w:rsid w:val="5BE663CF"/>
    <w:rsid w:val="5BED59B0"/>
    <w:rsid w:val="5BF800CF"/>
    <w:rsid w:val="5BFB3394"/>
    <w:rsid w:val="5C05719D"/>
    <w:rsid w:val="5C0C052C"/>
    <w:rsid w:val="5C0F331F"/>
    <w:rsid w:val="5C115B42"/>
    <w:rsid w:val="5C1318BA"/>
    <w:rsid w:val="5C180A77"/>
    <w:rsid w:val="5C1E7DFE"/>
    <w:rsid w:val="5C205D85"/>
    <w:rsid w:val="5C254CA2"/>
    <w:rsid w:val="5C291C91"/>
    <w:rsid w:val="5C3842C4"/>
    <w:rsid w:val="5C3846F3"/>
    <w:rsid w:val="5C3A55AA"/>
    <w:rsid w:val="5C3B64A8"/>
    <w:rsid w:val="5C403D31"/>
    <w:rsid w:val="5C5F7BBD"/>
    <w:rsid w:val="5C71038F"/>
    <w:rsid w:val="5C8207EE"/>
    <w:rsid w:val="5C844566"/>
    <w:rsid w:val="5C8956D8"/>
    <w:rsid w:val="5C904CB9"/>
    <w:rsid w:val="5C9E400F"/>
    <w:rsid w:val="5C9F4EFC"/>
    <w:rsid w:val="5CB07109"/>
    <w:rsid w:val="5CB70498"/>
    <w:rsid w:val="5CC46711"/>
    <w:rsid w:val="5CC84698"/>
    <w:rsid w:val="5CD526CC"/>
    <w:rsid w:val="5CE739C0"/>
    <w:rsid w:val="5CF74D38"/>
    <w:rsid w:val="5CFA06D7"/>
    <w:rsid w:val="5CFA4828"/>
    <w:rsid w:val="5CFC234E"/>
    <w:rsid w:val="5CFC3930"/>
    <w:rsid w:val="5CFD4FF4"/>
    <w:rsid w:val="5D015BB7"/>
    <w:rsid w:val="5D046E3C"/>
    <w:rsid w:val="5D0E2082"/>
    <w:rsid w:val="5D19346E"/>
    <w:rsid w:val="5D1A27D4"/>
    <w:rsid w:val="5D1C479E"/>
    <w:rsid w:val="5D245401"/>
    <w:rsid w:val="5D276C9F"/>
    <w:rsid w:val="5D3513BC"/>
    <w:rsid w:val="5D395350"/>
    <w:rsid w:val="5D3E7E7C"/>
    <w:rsid w:val="5D3F66DF"/>
    <w:rsid w:val="5D4004D8"/>
    <w:rsid w:val="5D543F38"/>
    <w:rsid w:val="5D5A52C7"/>
    <w:rsid w:val="5D5B7195"/>
    <w:rsid w:val="5D5C4B9B"/>
    <w:rsid w:val="5D605541"/>
    <w:rsid w:val="5D775E79"/>
    <w:rsid w:val="5D8916BE"/>
    <w:rsid w:val="5D894520"/>
    <w:rsid w:val="5D8B5BD5"/>
    <w:rsid w:val="5D8D4624"/>
    <w:rsid w:val="5D92680F"/>
    <w:rsid w:val="5D9A3915"/>
    <w:rsid w:val="5DA87DE0"/>
    <w:rsid w:val="5DBE13B2"/>
    <w:rsid w:val="5DC310BE"/>
    <w:rsid w:val="5DC52F62"/>
    <w:rsid w:val="5DCF35BF"/>
    <w:rsid w:val="5DE0757A"/>
    <w:rsid w:val="5DE84681"/>
    <w:rsid w:val="5DF317D2"/>
    <w:rsid w:val="5DF474C9"/>
    <w:rsid w:val="5DFA4E98"/>
    <w:rsid w:val="5E032F28"/>
    <w:rsid w:val="5E033269"/>
    <w:rsid w:val="5E0664F2"/>
    <w:rsid w:val="5E0B441A"/>
    <w:rsid w:val="5E127950"/>
    <w:rsid w:val="5E167440"/>
    <w:rsid w:val="5E3A79F8"/>
    <w:rsid w:val="5E420235"/>
    <w:rsid w:val="5E547F68"/>
    <w:rsid w:val="5E6C3504"/>
    <w:rsid w:val="5E6C52B2"/>
    <w:rsid w:val="5E710B1A"/>
    <w:rsid w:val="5E715233"/>
    <w:rsid w:val="5E916AC6"/>
    <w:rsid w:val="5EBF1885"/>
    <w:rsid w:val="5EC622D1"/>
    <w:rsid w:val="5ECB4E7A"/>
    <w:rsid w:val="5ED30E8D"/>
    <w:rsid w:val="5EDD49E0"/>
    <w:rsid w:val="5EDF7832"/>
    <w:rsid w:val="5EF61A15"/>
    <w:rsid w:val="5F0A5168"/>
    <w:rsid w:val="5F13397F"/>
    <w:rsid w:val="5F144D9F"/>
    <w:rsid w:val="5F157D42"/>
    <w:rsid w:val="5F2416E8"/>
    <w:rsid w:val="5F2B0CC9"/>
    <w:rsid w:val="5F4B136B"/>
    <w:rsid w:val="5F532747"/>
    <w:rsid w:val="5F55367B"/>
    <w:rsid w:val="5F5D7390"/>
    <w:rsid w:val="5F64242D"/>
    <w:rsid w:val="5F674188"/>
    <w:rsid w:val="5F7C1C78"/>
    <w:rsid w:val="5F8605F5"/>
    <w:rsid w:val="5F89148E"/>
    <w:rsid w:val="5F8E3006"/>
    <w:rsid w:val="5F93686E"/>
    <w:rsid w:val="5F9B6D89"/>
    <w:rsid w:val="5F9E4C6A"/>
    <w:rsid w:val="5F9F5213"/>
    <w:rsid w:val="5FAD7930"/>
    <w:rsid w:val="5FB15018"/>
    <w:rsid w:val="5FB567E4"/>
    <w:rsid w:val="5FBC15BE"/>
    <w:rsid w:val="5FBE38EB"/>
    <w:rsid w:val="5FCC6511"/>
    <w:rsid w:val="5FD90725"/>
    <w:rsid w:val="5FE873D0"/>
    <w:rsid w:val="5FE96FE1"/>
    <w:rsid w:val="5FED0E4F"/>
    <w:rsid w:val="5FF4730D"/>
    <w:rsid w:val="60031C46"/>
    <w:rsid w:val="600913DF"/>
    <w:rsid w:val="601654D5"/>
    <w:rsid w:val="601C6864"/>
    <w:rsid w:val="602009D7"/>
    <w:rsid w:val="60206354"/>
    <w:rsid w:val="602D6CC3"/>
    <w:rsid w:val="6054424F"/>
    <w:rsid w:val="60675319"/>
    <w:rsid w:val="6074044E"/>
    <w:rsid w:val="60813AD2"/>
    <w:rsid w:val="608C626D"/>
    <w:rsid w:val="60B13450"/>
    <w:rsid w:val="60B8658C"/>
    <w:rsid w:val="60C00EE5"/>
    <w:rsid w:val="60C23E1D"/>
    <w:rsid w:val="60CD17EC"/>
    <w:rsid w:val="60D13AF2"/>
    <w:rsid w:val="60E70C20"/>
    <w:rsid w:val="60F81675"/>
    <w:rsid w:val="60FC34E5"/>
    <w:rsid w:val="60FF065F"/>
    <w:rsid w:val="610276B8"/>
    <w:rsid w:val="61043BDE"/>
    <w:rsid w:val="611759A9"/>
    <w:rsid w:val="6118702B"/>
    <w:rsid w:val="611C731A"/>
    <w:rsid w:val="61221713"/>
    <w:rsid w:val="61300F17"/>
    <w:rsid w:val="61303EBF"/>
    <w:rsid w:val="61306A6A"/>
    <w:rsid w:val="61334675"/>
    <w:rsid w:val="613C71BD"/>
    <w:rsid w:val="6142054C"/>
    <w:rsid w:val="61506C4E"/>
    <w:rsid w:val="615E4FAA"/>
    <w:rsid w:val="61665FE8"/>
    <w:rsid w:val="617937F2"/>
    <w:rsid w:val="61827DCF"/>
    <w:rsid w:val="61856267"/>
    <w:rsid w:val="61863344"/>
    <w:rsid w:val="61946FF9"/>
    <w:rsid w:val="61A86601"/>
    <w:rsid w:val="61AA2779"/>
    <w:rsid w:val="61AB2103"/>
    <w:rsid w:val="61BA1455"/>
    <w:rsid w:val="61C15914"/>
    <w:rsid w:val="61C3168D"/>
    <w:rsid w:val="61C33FBA"/>
    <w:rsid w:val="61C6117D"/>
    <w:rsid w:val="61CD250B"/>
    <w:rsid w:val="61CD42B9"/>
    <w:rsid w:val="61FB30C1"/>
    <w:rsid w:val="62061579"/>
    <w:rsid w:val="622A70E9"/>
    <w:rsid w:val="622C0CE3"/>
    <w:rsid w:val="62392916"/>
    <w:rsid w:val="623936FD"/>
    <w:rsid w:val="624A3B5C"/>
    <w:rsid w:val="624C78D4"/>
    <w:rsid w:val="624D71A8"/>
    <w:rsid w:val="624E0E8D"/>
    <w:rsid w:val="62525071"/>
    <w:rsid w:val="625422E5"/>
    <w:rsid w:val="625B38C4"/>
    <w:rsid w:val="625D388F"/>
    <w:rsid w:val="62711C4D"/>
    <w:rsid w:val="628C1A7E"/>
    <w:rsid w:val="62914AD2"/>
    <w:rsid w:val="62970C2B"/>
    <w:rsid w:val="629B7F14"/>
    <w:rsid w:val="62B15989"/>
    <w:rsid w:val="62B17737"/>
    <w:rsid w:val="62B65CA2"/>
    <w:rsid w:val="62C20355"/>
    <w:rsid w:val="62DA4EE0"/>
    <w:rsid w:val="62E3472B"/>
    <w:rsid w:val="62EC19DB"/>
    <w:rsid w:val="62EE5BFE"/>
    <w:rsid w:val="630E6937"/>
    <w:rsid w:val="631101D6"/>
    <w:rsid w:val="6313504A"/>
    <w:rsid w:val="631A352E"/>
    <w:rsid w:val="631F0B45"/>
    <w:rsid w:val="631F28F3"/>
    <w:rsid w:val="632443AD"/>
    <w:rsid w:val="63273E9D"/>
    <w:rsid w:val="63281769"/>
    <w:rsid w:val="63293771"/>
    <w:rsid w:val="63310878"/>
    <w:rsid w:val="633E40F5"/>
    <w:rsid w:val="634467FD"/>
    <w:rsid w:val="63464323"/>
    <w:rsid w:val="63482C1C"/>
    <w:rsid w:val="634906E0"/>
    <w:rsid w:val="634B5A8B"/>
    <w:rsid w:val="635D123E"/>
    <w:rsid w:val="63604CB9"/>
    <w:rsid w:val="63657691"/>
    <w:rsid w:val="636A2E3B"/>
    <w:rsid w:val="636C7575"/>
    <w:rsid w:val="63775FB6"/>
    <w:rsid w:val="6384309D"/>
    <w:rsid w:val="638766EA"/>
    <w:rsid w:val="638E1826"/>
    <w:rsid w:val="63972DD1"/>
    <w:rsid w:val="63984453"/>
    <w:rsid w:val="63AB63EB"/>
    <w:rsid w:val="63AE3C76"/>
    <w:rsid w:val="63BC6FD9"/>
    <w:rsid w:val="63BF7C32"/>
    <w:rsid w:val="63C560E9"/>
    <w:rsid w:val="63E2279B"/>
    <w:rsid w:val="63ED479F"/>
    <w:rsid w:val="63F773CC"/>
    <w:rsid w:val="64002526"/>
    <w:rsid w:val="6401024A"/>
    <w:rsid w:val="640308A6"/>
    <w:rsid w:val="64155AA4"/>
    <w:rsid w:val="64185B46"/>
    <w:rsid w:val="641A130C"/>
    <w:rsid w:val="64246991"/>
    <w:rsid w:val="643423CE"/>
    <w:rsid w:val="64392B34"/>
    <w:rsid w:val="644545DB"/>
    <w:rsid w:val="64503516"/>
    <w:rsid w:val="645919C6"/>
    <w:rsid w:val="645946AB"/>
    <w:rsid w:val="64696AA3"/>
    <w:rsid w:val="646F3406"/>
    <w:rsid w:val="64740A1C"/>
    <w:rsid w:val="64917309"/>
    <w:rsid w:val="64942E6C"/>
    <w:rsid w:val="6497295D"/>
    <w:rsid w:val="64994927"/>
    <w:rsid w:val="64A55079"/>
    <w:rsid w:val="64A608BE"/>
    <w:rsid w:val="64AC1C20"/>
    <w:rsid w:val="64AF5EF8"/>
    <w:rsid w:val="64B00C46"/>
    <w:rsid w:val="64B15D39"/>
    <w:rsid w:val="64B27796"/>
    <w:rsid w:val="64B57D27"/>
    <w:rsid w:val="64C44459"/>
    <w:rsid w:val="64E260A6"/>
    <w:rsid w:val="64EC0EFA"/>
    <w:rsid w:val="64F44BA8"/>
    <w:rsid w:val="64F563D7"/>
    <w:rsid w:val="64FD1CB9"/>
    <w:rsid w:val="65014A37"/>
    <w:rsid w:val="652F2BDF"/>
    <w:rsid w:val="653137E4"/>
    <w:rsid w:val="65557C61"/>
    <w:rsid w:val="656F755B"/>
    <w:rsid w:val="659155FE"/>
    <w:rsid w:val="65953340"/>
    <w:rsid w:val="65982E30"/>
    <w:rsid w:val="659F5F6D"/>
    <w:rsid w:val="65B01F28"/>
    <w:rsid w:val="65BF216B"/>
    <w:rsid w:val="65C14ED8"/>
    <w:rsid w:val="65C15EE3"/>
    <w:rsid w:val="65CA1CFB"/>
    <w:rsid w:val="65CB6D62"/>
    <w:rsid w:val="65CE2E54"/>
    <w:rsid w:val="65D57BE0"/>
    <w:rsid w:val="65DA6FA5"/>
    <w:rsid w:val="65DF6369"/>
    <w:rsid w:val="65E03897"/>
    <w:rsid w:val="65F04A1A"/>
    <w:rsid w:val="65F61237"/>
    <w:rsid w:val="65FB7547"/>
    <w:rsid w:val="65FE2039"/>
    <w:rsid w:val="66057311"/>
    <w:rsid w:val="660B42BE"/>
    <w:rsid w:val="661E0CF7"/>
    <w:rsid w:val="6633066D"/>
    <w:rsid w:val="66383EBB"/>
    <w:rsid w:val="663B6394"/>
    <w:rsid w:val="663E5786"/>
    <w:rsid w:val="663F505A"/>
    <w:rsid w:val="66400C3A"/>
    <w:rsid w:val="664A412A"/>
    <w:rsid w:val="665B6983"/>
    <w:rsid w:val="665E1984"/>
    <w:rsid w:val="665E7BD6"/>
    <w:rsid w:val="66650F64"/>
    <w:rsid w:val="666A657B"/>
    <w:rsid w:val="66925AD1"/>
    <w:rsid w:val="66A7157D"/>
    <w:rsid w:val="66AF0431"/>
    <w:rsid w:val="66B176FD"/>
    <w:rsid w:val="66BC40A7"/>
    <w:rsid w:val="66BE7A8F"/>
    <w:rsid w:val="66C34CD3"/>
    <w:rsid w:val="66E0683D"/>
    <w:rsid w:val="66E73230"/>
    <w:rsid w:val="66F916AD"/>
    <w:rsid w:val="67000C8D"/>
    <w:rsid w:val="67050051"/>
    <w:rsid w:val="67090898"/>
    <w:rsid w:val="670C13E0"/>
    <w:rsid w:val="670E6FEF"/>
    <w:rsid w:val="671037C1"/>
    <w:rsid w:val="67184229"/>
    <w:rsid w:val="671C2162"/>
    <w:rsid w:val="672D1422"/>
    <w:rsid w:val="672E75A8"/>
    <w:rsid w:val="67363980"/>
    <w:rsid w:val="673D5826"/>
    <w:rsid w:val="67440D21"/>
    <w:rsid w:val="674C4DEE"/>
    <w:rsid w:val="674E0FD0"/>
    <w:rsid w:val="675308E1"/>
    <w:rsid w:val="67540EF7"/>
    <w:rsid w:val="675C4C43"/>
    <w:rsid w:val="6760172C"/>
    <w:rsid w:val="67660922"/>
    <w:rsid w:val="676C1E7F"/>
    <w:rsid w:val="678A7131"/>
    <w:rsid w:val="6793326D"/>
    <w:rsid w:val="67AA29A7"/>
    <w:rsid w:val="67B97561"/>
    <w:rsid w:val="67C72F40"/>
    <w:rsid w:val="67CC5D59"/>
    <w:rsid w:val="67E342A5"/>
    <w:rsid w:val="67E45EB9"/>
    <w:rsid w:val="67E934CF"/>
    <w:rsid w:val="67EE0AC3"/>
    <w:rsid w:val="67F3434E"/>
    <w:rsid w:val="67FE724E"/>
    <w:rsid w:val="68016A6B"/>
    <w:rsid w:val="68027301"/>
    <w:rsid w:val="68376930"/>
    <w:rsid w:val="68587300"/>
    <w:rsid w:val="68646FFA"/>
    <w:rsid w:val="687436E1"/>
    <w:rsid w:val="6875624B"/>
    <w:rsid w:val="687E0B86"/>
    <w:rsid w:val="68833924"/>
    <w:rsid w:val="68914293"/>
    <w:rsid w:val="68917E5B"/>
    <w:rsid w:val="689C2C37"/>
    <w:rsid w:val="689C6793"/>
    <w:rsid w:val="68B03FED"/>
    <w:rsid w:val="68B24209"/>
    <w:rsid w:val="68B53717"/>
    <w:rsid w:val="68B57855"/>
    <w:rsid w:val="68B7607E"/>
    <w:rsid w:val="68BD17A6"/>
    <w:rsid w:val="68C1269E"/>
    <w:rsid w:val="68C968D5"/>
    <w:rsid w:val="68CB0E27"/>
    <w:rsid w:val="68CE7E1E"/>
    <w:rsid w:val="68D35147"/>
    <w:rsid w:val="68DB3760"/>
    <w:rsid w:val="68E02592"/>
    <w:rsid w:val="68E92CE4"/>
    <w:rsid w:val="68F20AA9"/>
    <w:rsid w:val="690069D6"/>
    <w:rsid w:val="690305C1"/>
    <w:rsid w:val="690D143F"/>
    <w:rsid w:val="690F7F4A"/>
    <w:rsid w:val="69123026"/>
    <w:rsid w:val="69140A20"/>
    <w:rsid w:val="69146C72"/>
    <w:rsid w:val="691722BE"/>
    <w:rsid w:val="691B2548"/>
    <w:rsid w:val="69252C2D"/>
    <w:rsid w:val="693925CC"/>
    <w:rsid w:val="69482477"/>
    <w:rsid w:val="694E1928"/>
    <w:rsid w:val="694F3806"/>
    <w:rsid w:val="69561038"/>
    <w:rsid w:val="696A5E74"/>
    <w:rsid w:val="696E627E"/>
    <w:rsid w:val="697949DC"/>
    <w:rsid w:val="69872FA0"/>
    <w:rsid w:val="69B12712"/>
    <w:rsid w:val="69B95123"/>
    <w:rsid w:val="69D1246D"/>
    <w:rsid w:val="69DA57C5"/>
    <w:rsid w:val="69DD108A"/>
    <w:rsid w:val="69E10810"/>
    <w:rsid w:val="69E20B1E"/>
    <w:rsid w:val="69E43118"/>
    <w:rsid w:val="69E75C0C"/>
    <w:rsid w:val="69E76134"/>
    <w:rsid w:val="69F0447D"/>
    <w:rsid w:val="69F83E9D"/>
    <w:rsid w:val="69FD7EEA"/>
    <w:rsid w:val="6A022F6E"/>
    <w:rsid w:val="6A130CD7"/>
    <w:rsid w:val="6A164324"/>
    <w:rsid w:val="6A1F63AC"/>
    <w:rsid w:val="6A462161"/>
    <w:rsid w:val="6A5104FE"/>
    <w:rsid w:val="6A632B5C"/>
    <w:rsid w:val="6A6719F5"/>
    <w:rsid w:val="6A744D92"/>
    <w:rsid w:val="6A845731"/>
    <w:rsid w:val="6A8614A9"/>
    <w:rsid w:val="6A933BC6"/>
    <w:rsid w:val="6A9A31A7"/>
    <w:rsid w:val="6AA560DB"/>
    <w:rsid w:val="6AA81420"/>
    <w:rsid w:val="6AAE4730"/>
    <w:rsid w:val="6AB44268"/>
    <w:rsid w:val="6ABC136F"/>
    <w:rsid w:val="6AC33CDC"/>
    <w:rsid w:val="6AC52C03"/>
    <w:rsid w:val="6AD22940"/>
    <w:rsid w:val="6AD466B8"/>
    <w:rsid w:val="6AD77F57"/>
    <w:rsid w:val="6AE0256E"/>
    <w:rsid w:val="6AED04AA"/>
    <w:rsid w:val="6AF808CF"/>
    <w:rsid w:val="6AFE1987"/>
    <w:rsid w:val="6B040620"/>
    <w:rsid w:val="6B170353"/>
    <w:rsid w:val="6B2967FF"/>
    <w:rsid w:val="6B2A452A"/>
    <w:rsid w:val="6B2B4BA1"/>
    <w:rsid w:val="6B4E64CF"/>
    <w:rsid w:val="6B633598"/>
    <w:rsid w:val="6B637A3C"/>
    <w:rsid w:val="6B71341D"/>
    <w:rsid w:val="6B726B07"/>
    <w:rsid w:val="6B7E0BAA"/>
    <w:rsid w:val="6B8719CA"/>
    <w:rsid w:val="6B924EE4"/>
    <w:rsid w:val="6B9E3FB5"/>
    <w:rsid w:val="6BA76C23"/>
    <w:rsid w:val="6BAD2BA8"/>
    <w:rsid w:val="6BAE6F0A"/>
    <w:rsid w:val="6BB12556"/>
    <w:rsid w:val="6BB169FA"/>
    <w:rsid w:val="6BBA6E4B"/>
    <w:rsid w:val="6BBD0EFB"/>
    <w:rsid w:val="6BC229B5"/>
    <w:rsid w:val="6BD77D3D"/>
    <w:rsid w:val="6BDA1CC5"/>
    <w:rsid w:val="6BE60881"/>
    <w:rsid w:val="6BE7241B"/>
    <w:rsid w:val="6BE7474E"/>
    <w:rsid w:val="6BF54B38"/>
    <w:rsid w:val="6BFD1C3F"/>
    <w:rsid w:val="6C16685D"/>
    <w:rsid w:val="6C1B20C5"/>
    <w:rsid w:val="6C1F3963"/>
    <w:rsid w:val="6C205DBB"/>
    <w:rsid w:val="6C2608D9"/>
    <w:rsid w:val="6C2F0661"/>
    <w:rsid w:val="6C3111D4"/>
    <w:rsid w:val="6C3F5DB4"/>
    <w:rsid w:val="6C450BD7"/>
    <w:rsid w:val="6C467142"/>
    <w:rsid w:val="6C5E62E5"/>
    <w:rsid w:val="6C753F3A"/>
    <w:rsid w:val="6C773A8C"/>
    <w:rsid w:val="6C830396"/>
    <w:rsid w:val="6C891725"/>
    <w:rsid w:val="6C8E2C3C"/>
    <w:rsid w:val="6C944351"/>
    <w:rsid w:val="6CA70F93"/>
    <w:rsid w:val="6CD429A0"/>
    <w:rsid w:val="6CD504C6"/>
    <w:rsid w:val="6CE07597"/>
    <w:rsid w:val="6CE626D3"/>
    <w:rsid w:val="6CE94E1E"/>
    <w:rsid w:val="6CE95332"/>
    <w:rsid w:val="6D036DE1"/>
    <w:rsid w:val="6D0E5786"/>
    <w:rsid w:val="6D1234C8"/>
    <w:rsid w:val="6D140FEE"/>
    <w:rsid w:val="6D205BE5"/>
    <w:rsid w:val="6D2D20B0"/>
    <w:rsid w:val="6D340BE2"/>
    <w:rsid w:val="6D372F2F"/>
    <w:rsid w:val="6D423DCE"/>
    <w:rsid w:val="6D735272"/>
    <w:rsid w:val="6D8343C6"/>
    <w:rsid w:val="6D852097"/>
    <w:rsid w:val="6DA2233C"/>
    <w:rsid w:val="6DAD31F1"/>
    <w:rsid w:val="6DB36A59"/>
    <w:rsid w:val="6DE44E65"/>
    <w:rsid w:val="6DE54FF8"/>
    <w:rsid w:val="6DE85FD7"/>
    <w:rsid w:val="6DEA6E73"/>
    <w:rsid w:val="6DF90E3D"/>
    <w:rsid w:val="6E034F06"/>
    <w:rsid w:val="6E0409A2"/>
    <w:rsid w:val="6E143718"/>
    <w:rsid w:val="6E1B015A"/>
    <w:rsid w:val="6E2A65EF"/>
    <w:rsid w:val="6E3525C2"/>
    <w:rsid w:val="6E380F7E"/>
    <w:rsid w:val="6E384712"/>
    <w:rsid w:val="6E4C0C5C"/>
    <w:rsid w:val="6E535B46"/>
    <w:rsid w:val="6E5C0E9F"/>
    <w:rsid w:val="6E5C7EE7"/>
    <w:rsid w:val="6E5F098F"/>
    <w:rsid w:val="6E692661"/>
    <w:rsid w:val="6E69536A"/>
    <w:rsid w:val="6EA2087C"/>
    <w:rsid w:val="6EA63EC8"/>
    <w:rsid w:val="6ED547AD"/>
    <w:rsid w:val="6ED911FA"/>
    <w:rsid w:val="6EDA6267"/>
    <w:rsid w:val="6EDB5099"/>
    <w:rsid w:val="6EEB5D7F"/>
    <w:rsid w:val="6F120D5B"/>
    <w:rsid w:val="6F153A4F"/>
    <w:rsid w:val="6F2179F2"/>
    <w:rsid w:val="6F23376B"/>
    <w:rsid w:val="6F29606F"/>
    <w:rsid w:val="6F3516F0"/>
    <w:rsid w:val="6F35524C"/>
    <w:rsid w:val="6F365459"/>
    <w:rsid w:val="6F3E67F6"/>
    <w:rsid w:val="6F5778B8"/>
    <w:rsid w:val="6F593630"/>
    <w:rsid w:val="6F5A489D"/>
    <w:rsid w:val="6F683873"/>
    <w:rsid w:val="6F6873CF"/>
    <w:rsid w:val="6F7044D6"/>
    <w:rsid w:val="6F781CD0"/>
    <w:rsid w:val="6F80296B"/>
    <w:rsid w:val="6F9806A6"/>
    <w:rsid w:val="6FAC19B2"/>
    <w:rsid w:val="6FBC771B"/>
    <w:rsid w:val="6FBD596D"/>
    <w:rsid w:val="6FD35191"/>
    <w:rsid w:val="6FF46EB5"/>
    <w:rsid w:val="6FF60E7F"/>
    <w:rsid w:val="700C6B99"/>
    <w:rsid w:val="700D7F77"/>
    <w:rsid w:val="7013690C"/>
    <w:rsid w:val="702130A9"/>
    <w:rsid w:val="703579A2"/>
    <w:rsid w:val="70433998"/>
    <w:rsid w:val="70451ADA"/>
    <w:rsid w:val="704D257C"/>
    <w:rsid w:val="704E2A69"/>
    <w:rsid w:val="7062117A"/>
    <w:rsid w:val="7064376F"/>
    <w:rsid w:val="70723CA2"/>
    <w:rsid w:val="7076459B"/>
    <w:rsid w:val="707A560C"/>
    <w:rsid w:val="708E730A"/>
    <w:rsid w:val="70955A6B"/>
    <w:rsid w:val="709F1517"/>
    <w:rsid w:val="70AB3A18"/>
    <w:rsid w:val="70B34CA4"/>
    <w:rsid w:val="70B7060E"/>
    <w:rsid w:val="70B85E7F"/>
    <w:rsid w:val="70C82A0E"/>
    <w:rsid w:val="70D311C0"/>
    <w:rsid w:val="70D564D6"/>
    <w:rsid w:val="70D867D7"/>
    <w:rsid w:val="70E76136"/>
    <w:rsid w:val="7105607D"/>
    <w:rsid w:val="71062759"/>
    <w:rsid w:val="71095230"/>
    <w:rsid w:val="71193077"/>
    <w:rsid w:val="7120072C"/>
    <w:rsid w:val="713B3EA8"/>
    <w:rsid w:val="714479C8"/>
    <w:rsid w:val="715F4B14"/>
    <w:rsid w:val="716671E2"/>
    <w:rsid w:val="716A5681"/>
    <w:rsid w:val="716D33C3"/>
    <w:rsid w:val="717B77BB"/>
    <w:rsid w:val="71803F06"/>
    <w:rsid w:val="71805148"/>
    <w:rsid w:val="7185070D"/>
    <w:rsid w:val="719721EE"/>
    <w:rsid w:val="719C15B2"/>
    <w:rsid w:val="71A0468D"/>
    <w:rsid w:val="71AA1F21"/>
    <w:rsid w:val="71AA4758"/>
    <w:rsid w:val="71B93FFA"/>
    <w:rsid w:val="71BE286A"/>
    <w:rsid w:val="71BE59CD"/>
    <w:rsid w:val="71C55A11"/>
    <w:rsid w:val="71DD0E66"/>
    <w:rsid w:val="71E33685"/>
    <w:rsid w:val="71E739AA"/>
    <w:rsid w:val="71F66820"/>
    <w:rsid w:val="71F71FD7"/>
    <w:rsid w:val="72106A25"/>
    <w:rsid w:val="72126DA0"/>
    <w:rsid w:val="72224147"/>
    <w:rsid w:val="722A7C6B"/>
    <w:rsid w:val="722C6DDA"/>
    <w:rsid w:val="722D6D03"/>
    <w:rsid w:val="72457E9C"/>
    <w:rsid w:val="7249798C"/>
    <w:rsid w:val="72640322"/>
    <w:rsid w:val="72695938"/>
    <w:rsid w:val="72727E51"/>
    <w:rsid w:val="7278201F"/>
    <w:rsid w:val="727D5888"/>
    <w:rsid w:val="72802C82"/>
    <w:rsid w:val="728269FA"/>
    <w:rsid w:val="728409C4"/>
    <w:rsid w:val="72867D6D"/>
    <w:rsid w:val="728C1627"/>
    <w:rsid w:val="72A942BC"/>
    <w:rsid w:val="72AC5715"/>
    <w:rsid w:val="72C55C8D"/>
    <w:rsid w:val="72C74D55"/>
    <w:rsid w:val="72D11D6A"/>
    <w:rsid w:val="72DA4A88"/>
    <w:rsid w:val="72E40A32"/>
    <w:rsid w:val="72E41463"/>
    <w:rsid w:val="72EB459F"/>
    <w:rsid w:val="72F625F3"/>
    <w:rsid w:val="72FD23CD"/>
    <w:rsid w:val="73010267"/>
    <w:rsid w:val="730438B3"/>
    <w:rsid w:val="731616CA"/>
    <w:rsid w:val="73325FAB"/>
    <w:rsid w:val="734C4E47"/>
    <w:rsid w:val="73634E7E"/>
    <w:rsid w:val="736742CD"/>
    <w:rsid w:val="736F3422"/>
    <w:rsid w:val="737170B4"/>
    <w:rsid w:val="73726E46"/>
    <w:rsid w:val="737A780A"/>
    <w:rsid w:val="737E3665"/>
    <w:rsid w:val="73852C46"/>
    <w:rsid w:val="7388116B"/>
    <w:rsid w:val="738F7621"/>
    <w:rsid w:val="739143B8"/>
    <w:rsid w:val="73A40FAF"/>
    <w:rsid w:val="73A51D5E"/>
    <w:rsid w:val="73A77B0E"/>
    <w:rsid w:val="73AE6A9D"/>
    <w:rsid w:val="73AF7CC3"/>
    <w:rsid w:val="73B23B2A"/>
    <w:rsid w:val="73B47087"/>
    <w:rsid w:val="73C31078"/>
    <w:rsid w:val="73CA68AB"/>
    <w:rsid w:val="73D81CA6"/>
    <w:rsid w:val="73DB2866"/>
    <w:rsid w:val="73E07E7C"/>
    <w:rsid w:val="73EB6821"/>
    <w:rsid w:val="73F65CC3"/>
    <w:rsid w:val="740651CF"/>
    <w:rsid w:val="74085625"/>
    <w:rsid w:val="740C6EC3"/>
    <w:rsid w:val="74257F85"/>
    <w:rsid w:val="74273CFD"/>
    <w:rsid w:val="744321B9"/>
    <w:rsid w:val="744D57F7"/>
    <w:rsid w:val="745E5DE3"/>
    <w:rsid w:val="74793E2D"/>
    <w:rsid w:val="74860732"/>
    <w:rsid w:val="74962655"/>
    <w:rsid w:val="74974CB9"/>
    <w:rsid w:val="749869A9"/>
    <w:rsid w:val="74A215D5"/>
    <w:rsid w:val="74AB66DC"/>
    <w:rsid w:val="74AE3AD6"/>
    <w:rsid w:val="74B04019"/>
    <w:rsid w:val="74B05286"/>
    <w:rsid w:val="74B35591"/>
    <w:rsid w:val="74C74B98"/>
    <w:rsid w:val="74D3178F"/>
    <w:rsid w:val="74DD0860"/>
    <w:rsid w:val="74E25E76"/>
    <w:rsid w:val="74E90FB2"/>
    <w:rsid w:val="74F160B9"/>
    <w:rsid w:val="74FB2A62"/>
    <w:rsid w:val="750202C6"/>
    <w:rsid w:val="750E0A19"/>
    <w:rsid w:val="75151DA7"/>
    <w:rsid w:val="75170501"/>
    <w:rsid w:val="7517696C"/>
    <w:rsid w:val="752A5329"/>
    <w:rsid w:val="7533222E"/>
    <w:rsid w:val="754D21D6"/>
    <w:rsid w:val="755A1EB0"/>
    <w:rsid w:val="75610B49"/>
    <w:rsid w:val="756D1BE3"/>
    <w:rsid w:val="757B0E68"/>
    <w:rsid w:val="75916879"/>
    <w:rsid w:val="759E3B4B"/>
    <w:rsid w:val="759E6C36"/>
    <w:rsid w:val="75A153E9"/>
    <w:rsid w:val="75AB270C"/>
    <w:rsid w:val="75CD00DB"/>
    <w:rsid w:val="75EA55FF"/>
    <w:rsid w:val="75EC7474"/>
    <w:rsid w:val="75F6692F"/>
    <w:rsid w:val="75F714AD"/>
    <w:rsid w:val="75FC2F67"/>
    <w:rsid w:val="7615332D"/>
    <w:rsid w:val="7621652A"/>
    <w:rsid w:val="76257DC8"/>
    <w:rsid w:val="762A1882"/>
    <w:rsid w:val="763C5112"/>
    <w:rsid w:val="763E76DA"/>
    <w:rsid w:val="764140A7"/>
    <w:rsid w:val="764E05BE"/>
    <w:rsid w:val="766C3C49"/>
    <w:rsid w:val="768014A2"/>
    <w:rsid w:val="76805946"/>
    <w:rsid w:val="768076F4"/>
    <w:rsid w:val="76883582"/>
    <w:rsid w:val="768C42C0"/>
    <w:rsid w:val="76984A3E"/>
    <w:rsid w:val="769D18FF"/>
    <w:rsid w:val="769E5DCD"/>
    <w:rsid w:val="76AE24B4"/>
    <w:rsid w:val="76B53B8A"/>
    <w:rsid w:val="76BF021D"/>
    <w:rsid w:val="76C021E7"/>
    <w:rsid w:val="76C0457F"/>
    <w:rsid w:val="76C234D2"/>
    <w:rsid w:val="76C515AB"/>
    <w:rsid w:val="76C57C88"/>
    <w:rsid w:val="76D413CA"/>
    <w:rsid w:val="76D55A49"/>
    <w:rsid w:val="76DD6482"/>
    <w:rsid w:val="76EE28B0"/>
    <w:rsid w:val="76EF6628"/>
    <w:rsid w:val="770A4420"/>
    <w:rsid w:val="770E012A"/>
    <w:rsid w:val="771542E1"/>
    <w:rsid w:val="771D13E7"/>
    <w:rsid w:val="77214F12"/>
    <w:rsid w:val="77415016"/>
    <w:rsid w:val="774921DC"/>
    <w:rsid w:val="774B24CA"/>
    <w:rsid w:val="77690147"/>
    <w:rsid w:val="778D20C9"/>
    <w:rsid w:val="77A71C28"/>
    <w:rsid w:val="77A86F03"/>
    <w:rsid w:val="77AE75EE"/>
    <w:rsid w:val="77BB58F1"/>
    <w:rsid w:val="77BE6726"/>
    <w:rsid w:val="77BF249E"/>
    <w:rsid w:val="77C67389"/>
    <w:rsid w:val="77CC4A7E"/>
    <w:rsid w:val="77D20B84"/>
    <w:rsid w:val="77EC030F"/>
    <w:rsid w:val="77FE4D75"/>
    <w:rsid w:val="78000AED"/>
    <w:rsid w:val="780041AA"/>
    <w:rsid w:val="780162E2"/>
    <w:rsid w:val="78120820"/>
    <w:rsid w:val="781659A5"/>
    <w:rsid w:val="781C344D"/>
    <w:rsid w:val="782C1E12"/>
    <w:rsid w:val="782C7B34"/>
    <w:rsid w:val="782E55ED"/>
    <w:rsid w:val="78357812"/>
    <w:rsid w:val="78372035"/>
    <w:rsid w:val="78434E7D"/>
    <w:rsid w:val="78485FF0"/>
    <w:rsid w:val="78570929"/>
    <w:rsid w:val="787119EB"/>
    <w:rsid w:val="787E5EB6"/>
    <w:rsid w:val="7898720E"/>
    <w:rsid w:val="78A05750"/>
    <w:rsid w:val="78A45A31"/>
    <w:rsid w:val="78AD0549"/>
    <w:rsid w:val="78B57669"/>
    <w:rsid w:val="78BB4A14"/>
    <w:rsid w:val="78C0027C"/>
    <w:rsid w:val="78C31B1A"/>
    <w:rsid w:val="78D22E20"/>
    <w:rsid w:val="78DA54CD"/>
    <w:rsid w:val="78E977D3"/>
    <w:rsid w:val="78EB3E77"/>
    <w:rsid w:val="78EE303B"/>
    <w:rsid w:val="78F65A4C"/>
    <w:rsid w:val="79052133"/>
    <w:rsid w:val="7911603F"/>
    <w:rsid w:val="792E2798"/>
    <w:rsid w:val="793E41CE"/>
    <w:rsid w:val="79517126"/>
    <w:rsid w:val="79522377"/>
    <w:rsid w:val="795841F9"/>
    <w:rsid w:val="79775D89"/>
    <w:rsid w:val="797D6BBB"/>
    <w:rsid w:val="798219D5"/>
    <w:rsid w:val="799040F2"/>
    <w:rsid w:val="79907C4E"/>
    <w:rsid w:val="79985B76"/>
    <w:rsid w:val="79A856DF"/>
    <w:rsid w:val="79D20267"/>
    <w:rsid w:val="79D41C32"/>
    <w:rsid w:val="79DA7144"/>
    <w:rsid w:val="79EA1A55"/>
    <w:rsid w:val="79EB0C81"/>
    <w:rsid w:val="79EB757B"/>
    <w:rsid w:val="79F97F36"/>
    <w:rsid w:val="7A081B15"/>
    <w:rsid w:val="7A0C655C"/>
    <w:rsid w:val="7A102B3D"/>
    <w:rsid w:val="7A1545F8"/>
    <w:rsid w:val="7A170370"/>
    <w:rsid w:val="7A243ABF"/>
    <w:rsid w:val="7A4D1FE3"/>
    <w:rsid w:val="7A4D79F6"/>
    <w:rsid w:val="7A4E6B55"/>
    <w:rsid w:val="7A561A1A"/>
    <w:rsid w:val="7A736BF9"/>
    <w:rsid w:val="7A772BBC"/>
    <w:rsid w:val="7A852679"/>
    <w:rsid w:val="7A8A28F0"/>
    <w:rsid w:val="7A8C48BA"/>
    <w:rsid w:val="7A96154A"/>
    <w:rsid w:val="7AE7324F"/>
    <w:rsid w:val="7B0E1773"/>
    <w:rsid w:val="7B2446B6"/>
    <w:rsid w:val="7B2C6C51"/>
    <w:rsid w:val="7B340AAD"/>
    <w:rsid w:val="7B3F192C"/>
    <w:rsid w:val="7B4F3085"/>
    <w:rsid w:val="7B514F61"/>
    <w:rsid w:val="7B5729C0"/>
    <w:rsid w:val="7B5A49B8"/>
    <w:rsid w:val="7B616A15"/>
    <w:rsid w:val="7B6F745C"/>
    <w:rsid w:val="7B762A22"/>
    <w:rsid w:val="7B7D4202"/>
    <w:rsid w:val="7B88083C"/>
    <w:rsid w:val="7B915F00"/>
    <w:rsid w:val="7B975CDC"/>
    <w:rsid w:val="7B9B52B6"/>
    <w:rsid w:val="7BA7127F"/>
    <w:rsid w:val="7BAB16B6"/>
    <w:rsid w:val="7BAC2D3A"/>
    <w:rsid w:val="7BAF1A00"/>
    <w:rsid w:val="7BB10350"/>
    <w:rsid w:val="7BB12469"/>
    <w:rsid w:val="7BC40997"/>
    <w:rsid w:val="7BD2109B"/>
    <w:rsid w:val="7BD858DD"/>
    <w:rsid w:val="7BDA7E6F"/>
    <w:rsid w:val="7BDB1C82"/>
    <w:rsid w:val="7BE23839"/>
    <w:rsid w:val="7BF546E1"/>
    <w:rsid w:val="7C027614"/>
    <w:rsid w:val="7C052C38"/>
    <w:rsid w:val="7C091EA2"/>
    <w:rsid w:val="7C1077CB"/>
    <w:rsid w:val="7C156B31"/>
    <w:rsid w:val="7C1728A9"/>
    <w:rsid w:val="7C280612"/>
    <w:rsid w:val="7C2B0102"/>
    <w:rsid w:val="7C350F81"/>
    <w:rsid w:val="7C3A6597"/>
    <w:rsid w:val="7C432AFE"/>
    <w:rsid w:val="7C44063B"/>
    <w:rsid w:val="7C4660A5"/>
    <w:rsid w:val="7C4A67DB"/>
    <w:rsid w:val="7C4B2553"/>
    <w:rsid w:val="7C5807CC"/>
    <w:rsid w:val="7C617401"/>
    <w:rsid w:val="7C6F6241"/>
    <w:rsid w:val="7C70431D"/>
    <w:rsid w:val="7C7D459B"/>
    <w:rsid w:val="7C8E3C6B"/>
    <w:rsid w:val="7C920181"/>
    <w:rsid w:val="7C9A7B71"/>
    <w:rsid w:val="7C9B5288"/>
    <w:rsid w:val="7CAD0B17"/>
    <w:rsid w:val="7CAF7FC7"/>
    <w:rsid w:val="7CBB76D8"/>
    <w:rsid w:val="7CC831E4"/>
    <w:rsid w:val="7CC97806"/>
    <w:rsid w:val="7CCC3693"/>
    <w:rsid w:val="7CD662C0"/>
    <w:rsid w:val="7CD70BCB"/>
    <w:rsid w:val="7CDC1D39"/>
    <w:rsid w:val="7CE513A9"/>
    <w:rsid w:val="7CED53B8"/>
    <w:rsid w:val="7D024A6C"/>
    <w:rsid w:val="7D052701"/>
    <w:rsid w:val="7D0C05E5"/>
    <w:rsid w:val="7D2D11BD"/>
    <w:rsid w:val="7D382AD7"/>
    <w:rsid w:val="7D3B4375"/>
    <w:rsid w:val="7D690EE2"/>
    <w:rsid w:val="7D6C452F"/>
    <w:rsid w:val="7D8E6B9B"/>
    <w:rsid w:val="7D923955"/>
    <w:rsid w:val="7D93607C"/>
    <w:rsid w:val="7D98438D"/>
    <w:rsid w:val="7D9B4E14"/>
    <w:rsid w:val="7DAC5273"/>
    <w:rsid w:val="7DB215C4"/>
    <w:rsid w:val="7DC078DD"/>
    <w:rsid w:val="7DCC17D7"/>
    <w:rsid w:val="7DCE51E9"/>
    <w:rsid w:val="7DD520D4"/>
    <w:rsid w:val="7DDB7E4D"/>
    <w:rsid w:val="7DDF2F52"/>
    <w:rsid w:val="7DE52E86"/>
    <w:rsid w:val="7E172CBE"/>
    <w:rsid w:val="7E1A29E0"/>
    <w:rsid w:val="7E2253C9"/>
    <w:rsid w:val="7E240E58"/>
    <w:rsid w:val="7E2D1217"/>
    <w:rsid w:val="7E386B07"/>
    <w:rsid w:val="7E3A2692"/>
    <w:rsid w:val="7E3E236F"/>
    <w:rsid w:val="7E3F39F1"/>
    <w:rsid w:val="7E5C27F5"/>
    <w:rsid w:val="7E631A45"/>
    <w:rsid w:val="7E68080F"/>
    <w:rsid w:val="7E682F48"/>
    <w:rsid w:val="7E773A3E"/>
    <w:rsid w:val="7E7A0ECD"/>
    <w:rsid w:val="7EAD4390"/>
    <w:rsid w:val="7EAF6DC9"/>
    <w:rsid w:val="7EB20667"/>
    <w:rsid w:val="7EB443DF"/>
    <w:rsid w:val="7EB83D06"/>
    <w:rsid w:val="7EC81994"/>
    <w:rsid w:val="7ED56104"/>
    <w:rsid w:val="7EE74DB5"/>
    <w:rsid w:val="7EF944E8"/>
    <w:rsid w:val="7F0C5FC9"/>
    <w:rsid w:val="7F0D7F93"/>
    <w:rsid w:val="7F1C4DFC"/>
    <w:rsid w:val="7F1E5B06"/>
    <w:rsid w:val="7F1F0697"/>
    <w:rsid w:val="7F203823"/>
    <w:rsid w:val="7F217DA4"/>
    <w:rsid w:val="7F2262C3"/>
    <w:rsid w:val="7F29762A"/>
    <w:rsid w:val="7F447269"/>
    <w:rsid w:val="7F453289"/>
    <w:rsid w:val="7F5160D2"/>
    <w:rsid w:val="7F855D7C"/>
    <w:rsid w:val="7F881F44"/>
    <w:rsid w:val="7F9525ED"/>
    <w:rsid w:val="7F9D3A37"/>
    <w:rsid w:val="7F9D4E73"/>
    <w:rsid w:val="7F9E0CF9"/>
    <w:rsid w:val="7F9F0C78"/>
    <w:rsid w:val="7F9F6E3D"/>
    <w:rsid w:val="7FB83A5B"/>
    <w:rsid w:val="7FB977D3"/>
    <w:rsid w:val="7FC67C14"/>
    <w:rsid w:val="7FD34D39"/>
    <w:rsid w:val="7FD8234F"/>
    <w:rsid w:val="7FD85EAB"/>
    <w:rsid w:val="7FD92881"/>
    <w:rsid w:val="7FDF723A"/>
    <w:rsid w:val="7FEB2083"/>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qFormat/>
    <w:uiPriority w:val="0"/>
    <w:pPr>
      <w:widowControl w:val="0"/>
      <w:adjustRightInd w:val="0"/>
      <w:spacing w:line="360" w:lineRule="atLeast"/>
      <w:ind w:firstLine="482"/>
    </w:pPr>
    <w:rPr>
      <w:color w:val="auto"/>
      <w:sz w:val="24"/>
    </w:rPr>
  </w:style>
  <w:style w:type="paragraph" w:styleId="7">
    <w:name w:val="annotation text"/>
    <w:basedOn w:val="1"/>
    <w:link w:val="44"/>
    <w:qFormat/>
    <w:uiPriority w:val="0"/>
    <w:pPr>
      <w:jc w:val="left"/>
    </w:pPr>
  </w:style>
  <w:style w:type="paragraph" w:styleId="8">
    <w:name w:val="Body Text"/>
    <w:basedOn w:val="1"/>
    <w:next w:val="9"/>
    <w:qFormat/>
    <w:uiPriority w:val="0"/>
    <w:pPr>
      <w:jc w:val="center"/>
    </w:pPr>
    <w:rPr>
      <w:b/>
      <w:bCs/>
      <w:sz w:val="44"/>
      <w:szCs w:val="20"/>
    </w:rPr>
  </w:style>
  <w:style w:type="paragraph" w:styleId="9">
    <w:name w:val="toc 2"/>
    <w:basedOn w:val="1"/>
    <w:next w:val="1"/>
    <w:qFormat/>
    <w:uiPriority w:val="39"/>
    <w:pPr>
      <w:ind w:left="210"/>
      <w:jc w:val="left"/>
    </w:pPr>
    <w:rPr>
      <w:smallCaps/>
      <w:sz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13">
    <w:name w:val="index 4"/>
    <w:basedOn w:val="1"/>
    <w:next w:val="1"/>
    <w:qFormat/>
    <w:uiPriority w:val="0"/>
    <w:pPr>
      <w:ind w:left="600" w:leftChars="600"/>
    </w:pPr>
    <w:rPr>
      <w:rFonts w:ascii="Times New Roman" w:hAnsi="Times New Roman" w:eastAsia="宋体" w:cs="Times New Roman"/>
    </w:rPr>
  </w:style>
  <w:style w:type="paragraph" w:styleId="14">
    <w:name w:val="toc 3"/>
    <w:basedOn w:val="1"/>
    <w:next w:val="1"/>
    <w:uiPriority w:val="0"/>
    <w:pPr>
      <w:ind w:left="840" w:leftChars="400"/>
    </w:pPr>
  </w:style>
  <w:style w:type="paragraph" w:styleId="15">
    <w:name w:val="Plain Text"/>
    <w:basedOn w:val="1"/>
    <w:qFormat/>
    <w:uiPriority w:val="0"/>
    <w:rPr>
      <w:rFonts w:ascii="宋体"/>
      <w:color w:val="000000"/>
      <w:szCs w:val="20"/>
      <w:u w:val="none" w:color="000000"/>
    </w:rPr>
  </w:style>
  <w:style w:type="paragraph" w:styleId="16">
    <w:name w:val="Date"/>
    <w:basedOn w:val="1"/>
    <w:next w:val="1"/>
    <w:link w:val="45"/>
    <w:qFormat/>
    <w:uiPriority w:val="0"/>
    <w:rPr>
      <w:rFonts w:ascii="仿宋_GB2312" w:eastAsia="仿宋_GB2312"/>
      <w:sz w:val="30"/>
      <w:szCs w:val="20"/>
    </w:rPr>
  </w:style>
  <w:style w:type="paragraph" w:styleId="17">
    <w:name w:val="Body Text Indent 2"/>
    <w:basedOn w:val="1"/>
    <w:qFormat/>
    <w:uiPriority w:val="0"/>
    <w:pPr>
      <w:spacing w:line="360" w:lineRule="exact"/>
      <w:ind w:firstLine="600" w:firstLineChars="250"/>
      <w:jc w:val="left"/>
    </w:pPr>
    <w:rPr>
      <w:sz w:val="24"/>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autoSpaceDE w:val="0"/>
      <w:autoSpaceDN w:val="0"/>
      <w:spacing w:before="146"/>
      <w:ind w:left="455"/>
      <w:jc w:val="left"/>
    </w:pPr>
    <w:rPr>
      <w:rFonts w:ascii="宋体" w:hAnsi="宋体" w:cs="宋体"/>
      <w:b/>
      <w:bCs/>
      <w:kern w:val="0"/>
      <w:sz w:val="22"/>
      <w:szCs w:val="22"/>
      <w:lang w:val="zh-CN" w:bidi="zh-CN"/>
    </w:rPr>
  </w:style>
  <w:style w:type="paragraph" w:styleId="22">
    <w:name w:val="List"/>
    <w:basedOn w:val="1"/>
    <w:next w:val="1"/>
    <w:qFormat/>
    <w:uiPriority w:val="0"/>
    <w:pPr>
      <w:ind w:left="200" w:hanging="200" w:hangingChars="200"/>
    </w:pPr>
  </w:style>
  <w:style w:type="paragraph" w:styleId="23">
    <w:name w:val="Body Text 2"/>
    <w:basedOn w:val="1"/>
    <w:qFormat/>
    <w:uiPriority w:val="0"/>
    <w:pPr>
      <w:spacing w:line="440" w:lineRule="exact"/>
    </w:pPr>
    <w:rPr>
      <w:sz w:val="28"/>
    </w:rPr>
  </w:style>
  <w:style w:type="paragraph" w:styleId="24">
    <w:name w:val="Normal (Web)"/>
    <w:basedOn w:val="1"/>
    <w:qFormat/>
    <w:uiPriority w:val="0"/>
    <w:pPr>
      <w:widowControl/>
      <w:jc w:val="left"/>
    </w:pPr>
    <w:rPr>
      <w:rFonts w:ascii="宋体" w:hAnsi="宋体" w:cs="宋体"/>
      <w:kern w:val="0"/>
      <w:sz w:val="18"/>
      <w:szCs w:val="18"/>
    </w:rPr>
  </w:style>
  <w:style w:type="paragraph" w:styleId="25">
    <w:name w:val="annotation subject"/>
    <w:basedOn w:val="7"/>
    <w:next w:val="7"/>
    <w:link w:val="46"/>
    <w:qFormat/>
    <w:uiPriority w:val="0"/>
    <w:rPr>
      <w:b/>
      <w:bCs/>
    </w:rPr>
  </w:style>
  <w:style w:type="paragraph" w:styleId="26">
    <w:name w:val="Body Text First Indent 2"/>
    <w:basedOn w:val="10"/>
    <w:next w:val="1"/>
    <w:qFormat/>
    <w:uiPriority w:val="0"/>
    <w:pPr>
      <w:spacing w:line="360" w:lineRule="auto"/>
      <w:ind w:firstLine="200" w:firstLineChars="200"/>
    </w:pPr>
    <w:rPr>
      <w:rFonts w:ascii="宋体"/>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page number"/>
    <w:qFormat/>
    <w:uiPriority w:val="0"/>
  </w:style>
  <w:style w:type="character" w:styleId="32">
    <w:name w:val="FollowedHyperlink"/>
    <w:qFormat/>
    <w:uiPriority w:val="0"/>
    <w:rPr>
      <w:color w:val="333333"/>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333333"/>
      <w:u w:val="non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character" w:customStyle="1" w:styleId="44">
    <w:name w:val="批注文字 字符"/>
    <w:link w:val="7"/>
    <w:qFormat/>
    <w:uiPriority w:val="0"/>
    <w:rPr>
      <w:kern w:val="2"/>
      <w:sz w:val="21"/>
      <w:szCs w:val="24"/>
    </w:rPr>
  </w:style>
  <w:style w:type="character" w:customStyle="1" w:styleId="45">
    <w:name w:val="日期 字符"/>
    <w:link w:val="16"/>
    <w:qFormat/>
    <w:uiPriority w:val="0"/>
    <w:rPr>
      <w:rFonts w:ascii="仿宋_GB2312" w:eastAsia="仿宋_GB2312"/>
      <w:kern w:val="2"/>
      <w:sz w:val="30"/>
      <w:lang w:val="en-US" w:eastAsia="zh-CN" w:bidi="ar-SA"/>
    </w:rPr>
  </w:style>
  <w:style w:type="character" w:customStyle="1" w:styleId="46">
    <w:name w:val="批注主题 字符"/>
    <w:link w:val="25"/>
    <w:qFormat/>
    <w:uiPriority w:val="0"/>
    <w:rPr>
      <w:b/>
      <w:bCs/>
      <w:kern w:val="2"/>
      <w:sz w:val="21"/>
      <w:szCs w:val="24"/>
    </w:rPr>
  </w:style>
  <w:style w:type="character" w:customStyle="1" w:styleId="47">
    <w:name w:val="NormalCharacter"/>
    <w:qFormat/>
    <w:uiPriority w:val="0"/>
    <w:rPr>
      <w:kern w:val="2"/>
      <w:sz w:val="21"/>
      <w:szCs w:val="24"/>
      <w:lang w:val="en-US" w:eastAsia="zh-CN" w:bidi="ar-SA"/>
    </w:rPr>
  </w:style>
  <w:style w:type="character" w:customStyle="1" w:styleId="48">
    <w:name w:val="font61"/>
    <w:qFormat/>
    <w:uiPriority w:val="0"/>
    <w:rPr>
      <w:rFonts w:hint="eastAsia" w:ascii="宋体" w:hAnsi="宋体" w:eastAsia="宋体" w:cs="宋体"/>
      <w:color w:val="000000"/>
      <w:sz w:val="14"/>
      <w:szCs w:val="14"/>
      <w:u w:val="none"/>
    </w:rPr>
  </w:style>
  <w:style w:type="character" w:customStyle="1" w:styleId="49">
    <w:name w:val="font51"/>
    <w:qFormat/>
    <w:uiPriority w:val="0"/>
    <w:rPr>
      <w:rFonts w:hint="eastAsia" w:ascii="宋体" w:hAnsi="宋体" w:eastAsia="宋体" w:cs="宋体"/>
      <w:color w:val="auto"/>
      <w:sz w:val="14"/>
      <w:szCs w:val="14"/>
      <w:u w:val="none"/>
    </w:rPr>
  </w:style>
  <w:style w:type="character" w:customStyle="1" w:styleId="50">
    <w:name w:val="font81"/>
    <w:qFormat/>
    <w:uiPriority w:val="0"/>
    <w:rPr>
      <w:rFonts w:hint="default" w:ascii="Times New Roman" w:hAnsi="Times New Roman" w:cs="Times New Roman"/>
      <w:color w:val="auto"/>
      <w:sz w:val="14"/>
      <w:szCs w:val="14"/>
      <w:u w:val="none"/>
    </w:rPr>
  </w:style>
  <w:style w:type="character" w:customStyle="1" w:styleId="51">
    <w:name w:val="font71"/>
    <w:qFormat/>
    <w:uiPriority w:val="0"/>
    <w:rPr>
      <w:rFonts w:hint="eastAsia" w:ascii="宋体" w:hAnsi="宋体" w:eastAsia="宋体" w:cs="宋体"/>
      <w:color w:val="auto"/>
      <w:sz w:val="14"/>
      <w:szCs w:val="14"/>
      <w:u w:val="none"/>
    </w:rPr>
  </w:style>
  <w:style w:type="character" w:customStyle="1" w:styleId="52">
    <w:name w:val="bigfont"/>
    <w:qFormat/>
    <w:uiPriority w:val="0"/>
  </w:style>
  <w:style w:type="paragraph" w:customStyle="1" w:styleId="53">
    <w:name w:val="Char"/>
    <w:basedOn w:val="1"/>
    <w:qFormat/>
    <w:uiPriority w:val="0"/>
    <w:pPr>
      <w:widowControl/>
      <w:spacing w:line="360" w:lineRule="auto"/>
      <w:jc w:val="left"/>
    </w:pPr>
  </w:style>
  <w:style w:type="paragraph" w:customStyle="1" w:styleId="54">
    <w:name w:val="标准文本"/>
    <w:basedOn w:val="1"/>
    <w:qFormat/>
    <w:uiPriority w:val="99"/>
    <w:pPr>
      <w:spacing w:line="360" w:lineRule="auto"/>
      <w:ind w:firstLine="480" w:firstLineChars="200"/>
    </w:pPr>
    <w:rPr>
      <w:rFonts w:cs="宋体"/>
      <w:sz w:val="24"/>
      <w:szCs w:val="20"/>
    </w:rPr>
  </w:style>
  <w:style w:type="paragraph" w:customStyle="1" w:styleId="55">
    <w:name w:val="Char Char Char Char Char Char Char1 Char"/>
    <w:basedOn w:val="1"/>
    <w:qFormat/>
    <w:uiPriority w:val="0"/>
    <w:rPr>
      <w:rFonts w:ascii="Tahoma" w:hAnsi="Tahoma"/>
      <w:sz w:val="24"/>
      <w:szCs w:val="20"/>
    </w:rPr>
  </w:style>
  <w:style w:type="paragraph" w:customStyle="1" w:styleId="56">
    <w:name w:val=" Char"/>
    <w:basedOn w:val="1"/>
    <w:qFormat/>
    <w:uiPriority w:val="0"/>
    <w:rPr>
      <w:rFonts w:ascii="Tahoma" w:hAnsi="Tahoma"/>
      <w:sz w:val="24"/>
      <w:szCs w:val="20"/>
    </w:rPr>
  </w:style>
  <w:style w:type="paragraph" w:customStyle="1" w:styleId="57">
    <w:name w:val="列表段落1"/>
    <w:basedOn w:val="1"/>
    <w:qFormat/>
    <w:uiPriority w:val="34"/>
    <w:pPr>
      <w:spacing w:line="360" w:lineRule="auto"/>
      <w:ind w:firstLine="420" w:firstLineChars="200"/>
    </w:pPr>
    <w:rPr>
      <w:szCs w:val="20"/>
    </w:rPr>
  </w:style>
  <w:style w:type="paragraph" w:customStyle="1" w:styleId="58">
    <w:name w:val="*正文"/>
    <w:basedOn w:val="1"/>
    <w:qFormat/>
    <w:uiPriority w:val="0"/>
    <w:pPr>
      <w:widowControl/>
      <w:snapToGrid w:val="0"/>
      <w:ind w:firstLine="560"/>
      <w:jc w:val="left"/>
    </w:pPr>
    <w:rPr>
      <w:rFonts w:ascii="仿宋_GB2312"/>
      <w:color w:val="191919"/>
      <w:sz w:val="28"/>
      <w:szCs w:val="28"/>
    </w:rPr>
  </w:style>
  <w:style w:type="paragraph" w:styleId="59">
    <w:name w:val="List Paragraph"/>
    <w:basedOn w:val="1"/>
    <w:qFormat/>
    <w:uiPriority w:val="34"/>
    <w:pPr>
      <w:spacing w:line="360" w:lineRule="auto"/>
      <w:ind w:firstLine="420" w:firstLineChars="200"/>
    </w:pPr>
    <w:rPr>
      <w:szCs w:val="20"/>
    </w:rPr>
  </w:style>
  <w:style w:type="paragraph" w:customStyle="1" w:styleId="60">
    <w:name w:val="默认段落字体 Para Char Char Char Char"/>
    <w:basedOn w:val="1"/>
    <w:qFormat/>
    <w:uiPriority w:val="0"/>
  </w:style>
  <w:style w:type="paragraph" w:customStyle="1" w:styleId="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列出段落1"/>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6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4">
    <w:name w:val="fontstyle11"/>
    <w:qFormat/>
    <w:uiPriority w:val="0"/>
    <w:rPr>
      <w:rFonts w:hint="default" w:ascii="TimesNewRomanPSMT" w:hAnsi="TimesNewRomanPSMT"/>
      <w:color w:val="000000"/>
      <w:sz w:val="24"/>
      <w:szCs w:val="24"/>
    </w:rPr>
  </w:style>
  <w:style w:type="character" w:customStyle="1" w:styleId="65">
    <w:name w:val="fontstyle01"/>
    <w:qFormat/>
    <w:uiPriority w:val="0"/>
    <w:rPr>
      <w:rFonts w:hint="eastAsia" w:ascii="宋体" w:hAnsi="宋体" w:eastAsia="宋体"/>
      <w:color w:val="000000"/>
      <w:sz w:val="24"/>
      <w:szCs w:val="24"/>
    </w:rPr>
  </w:style>
  <w:style w:type="character" w:customStyle="1" w:styleId="66">
    <w:name w:val="fontstyle31"/>
    <w:qFormat/>
    <w:uiPriority w:val="0"/>
    <w:rPr>
      <w:rFonts w:hint="default" w:ascii="TimesNewRomanPS-BoldMT" w:hAnsi="TimesNewRomanPS-BoldMT"/>
      <w:b/>
      <w:bCs/>
      <w:color w:val="000000"/>
      <w:sz w:val="24"/>
      <w:szCs w:val="24"/>
    </w:rPr>
  </w:style>
  <w:style w:type="character" w:customStyle="1" w:styleId="67">
    <w:name w:val="fontstyle21"/>
    <w:qFormat/>
    <w:uiPriority w:val="0"/>
    <w:rPr>
      <w:rFonts w:hint="default" w:ascii="TimesNewRomanPSMT" w:hAnsi="TimesNewRomanPSMT"/>
      <w:color w:val="000000"/>
      <w:sz w:val="24"/>
      <w:szCs w:val="24"/>
    </w:rPr>
  </w:style>
  <w:style w:type="paragraph" w:customStyle="1" w:styleId="68">
    <w:name w:val="Table Paragraph"/>
    <w:basedOn w:val="1"/>
    <w:qFormat/>
    <w:uiPriority w:val="1"/>
    <w:pPr>
      <w:autoSpaceDE w:val="0"/>
      <w:autoSpaceDN w:val="0"/>
      <w:jc w:val="left"/>
    </w:pPr>
    <w:rPr>
      <w:rFonts w:cs="宋体"/>
      <w:kern w:val="0"/>
      <w:sz w:val="22"/>
      <w:lang w:val="zh-CN" w:bidi="zh-CN"/>
    </w:rPr>
  </w:style>
  <w:style w:type="paragraph" w:customStyle="1" w:styleId="69">
    <w:name w:val="列出段落11"/>
    <w:basedOn w:val="1"/>
    <w:qFormat/>
    <w:uiPriority w:val="99"/>
    <w:pPr>
      <w:adjustRightInd w:val="0"/>
      <w:spacing w:line="360" w:lineRule="atLeast"/>
      <w:ind w:firstLine="420" w:firstLineChars="200"/>
      <w:jc w:val="left"/>
    </w:pPr>
    <w:rPr>
      <w:rFonts w:ascii="等线" w:hAnsi="等线" w:eastAsia="等线" w:cs="黑体"/>
      <w:kern w:val="0"/>
      <w:sz w:val="24"/>
      <w:szCs w:val="22"/>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8"/>
      <w:lang w:val="en-US" w:eastAsia="zh-CN" w:bidi="ar-SA"/>
    </w:rPr>
  </w:style>
  <w:style w:type="paragraph" w:customStyle="1" w:styleId="71">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Chars="200"/>
    </w:pPr>
    <w:rPr>
      <w:rFonts w:ascii="Times New Roman" w:hAnsi="Times New Roman" w:eastAsia="宋体" w:cs="Times New Roman"/>
      <w:lang w:val="en-US" w:eastAsia="zh-CN" w:bidi="ar-SA"/>
    </w:rPr>
  </w:style>
  <w:style w:type="paragraph" w:customStyle="1" w:styleId="74">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31488</Words>
  <Characters>33133</Characters>
  <Lines>272</Lines>
  <Paragraphs>76</Paragraphs>
  <TotalTime>7</TotalTime>
  <ScaleCrop>false</ScaleCrop>
  <LinksUpToDate>false</LinksUpToDate>
  <CharactersWithSpaces>35348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2017-04-26T09:52:00Z</dcterms:created>
  <dc:creator>微软用户</dc:creator>
  <cp:lastModifiedBy>好男人就是……</cp:lastModifiedBy>
  <cp:lastPrinted>2019-10-31T07:16:00Z</cp:lastPrinted>
  <dcterms:modified xsi:type="dcterms:W3CDTF">2024-08-13T01:57:22Z</dcterms:modified>
  <dc:title>花亭路等道路绿化工程苗木比价采购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4D2016E0B0894B7BB281ECFC85CEA471</vt:lpwstr>
  </property>
</Properties>
</file>