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3"/>
        </w:tabs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滁州学院采购项目比选报价单</w:t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bCs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滁州学院2021-2023年招标采购代理服务项目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供应商全称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比选申请范围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□ 项目所在地为滁州的代理服务</w:t>
            </w:r>
          </w:p>
          <w:p>
            <w:pPr>
              <w:spacing w:line="4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□ 项目所在地为合肥的代理服务</w:t>
            </w:r>
          </w:p>
          <w:p>
            <w:pPr>
              <w:spacing w:line="4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注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对应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勾选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招标代理服务费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报价折扣为：______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（百分之_________）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　　本次招标采购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代理采购项目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的招标采购代理服务费收取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采取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万元以下项目按国家计委关于印发《招标代理服务收费管理暂行办法》的通知（计价格[2002]1980号）文件的规定收费。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万元以上项目需要供应商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报价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（折扣）：</w:t>
            </w:r>
          </w:p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　　100万元以上项目，供应商招标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采购代理服务费收取应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以原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国家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计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委关于印发《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招标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代理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服务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费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管理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暂行办法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》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的通知（计价格[2002]1980号）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为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基础，按折扣报价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。供应商所报折扣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范围应在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80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至9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5%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之间，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低于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80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或高于95%的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均为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无效报价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为确保代理服务质量，不足3000元的项目按3000元固定保底标准收费。</w:t>
            </w:r>
          </w:p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　　同时，承诺政府采购类项目文件工本费免收，其他货物、服务类项目工本费不超过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00元每份，工程类项目工本费不超过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00元每份。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声明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声明：我方在报价前，已认真阅读项目采购比选文件，理解并完全响应项目采购比选文件及其附件中的所有实质性要求。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报价单位：         （盖章）        授权委托人：      （签名）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联系方式：                               年 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63C3"/>
    <w:rsid w:val="28C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2020-12-07T07:30:00Z</dcterms:created>
  <dc:creator>魚</dc:creator>
  <cp:lastModifiedBy>魚</cp:lastModifiedBy>
  <dcterms:modified xsi:type="dcterms:W3CDTF">2020-12-07T07:31:17Z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